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FFEB79D" w:rsidR="00E1257C" w:rsidRPr="009E05F4" w:rsidRDefault="009E05F4" w:rsidP="009E05F4">
      <w:pPr>
        <w:pStyle w:val="SENTENCIAS"/>
      </w:pPr>
      <w:r>
        <w:t xml:space="preserve">León, Guanajuato, </w:t>
      </w:r>
      <w:r w:rsidR="00A2548D">
        <w:t xml:space="preserve">a </w:t>
      </w:r>
      <w:r w:rsidR="0039754E">
        <w:t>1</w:t>
      </w:r>
      <w:r w:rsidR="008033A2">
        <w:t>6</w:t>
      </w:r>
      <w:r w:rsidR="0039754E">
        <w:t xml:space="preserve"> </w:t>
      </w:r>
      <w:r w:rsidR="00AB1E59">
        <w:t>dieciséis</w:t>
      </w:r>
      <w:r w:rsidRPr="009E05F4">
        <w:t xml:space="preserve"> de a</w:t>
      </w:r>
      <w:r w:rsidR="00114ECE" w:rsidRPr="009E05F4">
        <w:t>gost</w:t>
      </w:r>
      <w:r w:rsidR="00EE55BF" w:rsidRPr="009E05F4">
        <w:t>o</w:t>
      </w:r>
      <w:r w:rsidR="00C21CF1" w:rsidRPr="009E05F4">
        <w:t xml:space="preserve"> </w:t>
      </w:r>
      <w:r w:rsidR="00E1257C" w:rsidRPr="009E05F4">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395A9B9"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39754E">
        <w:rPr>
          <w:rFonts w:ascii="Century" w:hAnsi="Century"/>
          <w:b/>
        </w:rPr>
        <w:t>904</w:t>
      </w:r>
      <w:r w:rsidR="00EE55BF">
        <w:rPr>
          <w:rFonts w:ascii="Century" w:hAnsi="Century"/>
          <w:b/>
        </w:rPr>
        <w:t>/</w:t>
      </w:r>
      <w:r w:rsidR="0039754E">
        <w:rPr>
          <w:rFonts w:ascii="Century" w:hAnsi="Century"/>
          <w:b/>
        </w:rPr>
        <w:t>2015</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B6457E">
        <w:rPr>
          <w:rFonts w:ascii="Century" w:hAnsi="Century"/>
        </w:rPr>
        <w:t xml:space="preserve">la ciudadana </w:t>
      </w:r>
      <w:r w:rsidR="00CC6D58">
        <w:rPr>
          <w:rFonts w:ascii="Century" w:hAnsi="Century"/>
          <w:b/>
        </w:rPr>
        <w:t>(.....)</w:t>
      </w:r>
      <w:r w:rsidR="0045780A">
        <w:rPr>
          <w:rFonts w:ascii="Century" w:hAnsi="Century"/>
          <w:b/>
        </w:rPr>
        <w:t>;</w:t>
      </w:r>
      <w:r w:rsidRPr="00E1257C">
        <w:rPr>
          <w:rFonts w:ascii="Century" w:hAnsi="Century"/>
        </w:rPr>
        <w:t xml:space="preserve"> </w:t>
      </w:r>
      <w:r w:rsidR="00EE55BF" w:rsidRPr="00E1257C">
        <w:rPr>
          <w:rFonts w:ascii="Century" w:hAnsi="Century"/>
        </w:rPr>
        <w:t>y</w:t>
      </w:r>
      <w:r w:rsidR="00EE55BF">
        <w:rPr>
          <w:rFonts w:ascii="Century" w:hAnsi="Century"/>
        </w:rPr>
        <w:t>.</w:t>
      </w:r>
      <w:r>
        <w:rPr>
          <w:rFonts w:ascii="Century" w:hAnsi="Century"/>
        </w:rPr>
        <w:t>-</w:t>
      </w:r>
      <w:r w:rsidR="00B6457E">
        <w:rPr>
          <w:rFonts w:ascii="Century" w:hAnsi="Century"/>
        </w:rPr>
        <w:t>-----</w:t>
      </w:r>
    </w:p>
    <w:p w14:paraId="068B4A61" w14:textId="69C087A8" w:rsidR="00E1257C" w:rsidRDefault="00E1257C" w:rsidP="00E1257C">
      <w:pPr>
        <w:spacing w:line="360" w:lineRule="auto"/>
        <w:ind w:firstLine="709"/>
        <w:jc w:val="both"/>
        <w:rPr>
          <w:rFonts w:ascii="Century" w:hAnsi="Century"/>
        </w:rPr>
      </w:pPr>
    </w:p>
    <w:p w14:paraId="1A211C70" w14:textId="77777777" w:rsidR="00254DA8" w:rsidRPr="00E1257C" w:rsidRDefault="00254DA8"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A6F681" w14:textId="07C56C8B" w:rsidR="0045780A"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B1C1E">
        <w:rPr>
          <w:rFonts w:ascii="Century" w:hAnsi="Century"/>
        </w:rPr>
        <w:t>2</w:t>
      </w:r>
      <w:r w:rsidR="0045780A">
        <w:rPr>
          <w:rFonts w:ascii="Century" w:hAnsi="Century"/>
        </w:rPr>
        <w:t xml:space="preserve">7 veintisiete de octubre del año 2015 dos mil quince, </w:t>
      </w:r>
      <w:r w:rsidRPr="00E1257C">
        <w:rPr>
          <w:rFonts w:ascii="Century" w:hAnsi="Century"/>
        </w:rPr>
        <w:t>la parte actora presentó demanda de nulidad, señalando como acto</w:t>
      </w:r>
      <w:r w:rsidR="0045780A">
        <w:rPr>
          <w:rFonts w:ascii="Century" w:hAnsi="Century"/>
        </w:rPr>
        <w:t>s</w:t>
      </w:r>
      <w:r w:rsidRPr="00E1257C">
        <w:rPr>
          <w:rFonts w:ascii="Century" w:hAnsi="Century"/>
        </w:rPr>
        <w:t xml:space="preserve"> impugnado</w:t>
      </w:r>
      <w:r w:rsidR="0045780A">
        <w:rPr>
          <w:rFonts w:ascii="Century" w:hAnsi="Century"/>
        </w:rPr>
        <w:t xml:space="preserve">s los oficios con números TML/DGI/10512/2015 </w:t>
      </w:r>
      <w:r w:rsidR="00BA4B5F">
        <w:rPr>
          <w:rFonts w:ascii="Century" w:hAnsi="Century"/>
        </w:rPr>
        <w:t>(Letra T letra M letra L diagonal letra D letra G letra I</w:t>
      </w:r>
      <w:r w:rsidR="0045780A">
        <w:rPr>
          <w:rFonts w:ascii="Century" w:hAnsi="Century"/>
        </w:rPr>
        <w:t xml:space="preserve"> diagonal uno cero cinco uno dos diagonal dos mil quince), TML/DGI/10513</w:t>
      </w:r>
      <w:r w:rsidR="0045780A" w:rsidRPr="0045780A">
        <w:rPr>
          <w:rFonts w:ascii="Century" w:hAnsi="Century"/>
        </w:rPr>
        <w:t>/2015</w:t>
      </w:r>
      <w:r w:rsidR="0045780A">
        <w:rPr>
          <w:rFonts w:ascii="Century" w:hAnsi="Century"/>
        </w:rPr>
        <w:t xml:space="preserve"> </w:t>
      </w:r>
      <w:r w:rsidR="00BA4B5F">
        <w:rPr>
          <w:rFonts w:ascii="Century" w:hAnsi="Century"/>
        </w:rPr>
        <w:t>(Letra T letra M letra L diagonal letra D letra G letra I</w:t>
      </w:r>
      <w:r w:rsidR="0045780A" w:rsidRPr="0045780A">
        <w:rPr>
          <w:rFonts w:ascii="Century" w:hAnsi="Century"/>
        </w:rPr>
        <w:t xml:space="preserve"> diagonal uno cero cinco uno </w:t>
      </w:r>
      <w:r w:rsidR="0045780A">
        <w:rPr>
          <w:rFonts w:ascii="Century" w:hAnsi="Century"/>
        </w:rPr>
        <w:t>tres</w:t>
      </w:r>
      <w:r w:rsidR="0045780A" w:rsidRPr="0045780A">
        <w:rPr>
          <w:rFonts w:ascii="Century" w:hAnsi="Century"/>
        </w:rPr>
        <w:t xml:space="preserve"> diagonal dos mil quince)</w:t>
      </w:r>
      <w:r w:rsidR="00BA4B5F">
        <w:rPr>
          <w:rFonts w:ascii="Century" w:hAnsi="Century"/>
        </w:rPr>
        <w:t xml:space="preserve"> </w:t>
      </w:r>
      <w:r w:rsidR="0045780A">
        <w:rPr>
          <w:rFonts w:ascii="Century" w:hAnsi="Century"/>
        </w:rPr>
        <w:t xml:space="preserve">y </w:t>
      </w:r>
      <w:r w:rsidR="0045780A" w:rsidRPr="0045780A">
        <w:rPr>
          <w:rFonts w:ascii="Century" w:hAnsi="Century"/>
        </w:rPr>
        <w:t>TML/DGI/1051</w:t>
      </w:r>
      <w:r w:rsidR="0045780A">
        <w:rPr>
          <w:rFonts w:ascii="Century" w:hAnsi="Century"/>
        </w:rPr>
        <w:t>4</w:t>
      </w:r>
      <w:r w:rsidR="0045780A" w:rsidRPr="0045780A">
        <w:rPr>
          <w:rFonts w:ascii="Century" w:hAnsi="Century"/>
        </w:rPr>
        <w:t>/2015</w:t>
      </w:r>
      <w:r w:rsidR="0045780A">
        <w:rPr>
          <w:rFonts w:ascii="Century" w:hAnsi="Century"/>
        </w:rPr>
        <w:t xml:space="preserve"> </w:t>
      </w:r>
      <w:r w:rsidR="00BA4B5F">
        <w:rPr>
          <w:rFonts w:ascii="Century" w:hAnsi="Century"/>
        </w:rPr>
        <w:t>(Letra T letra M letra L diagonal letra D letra G letra I</w:t>
      </w:r>
      <w:r w:rsidR="0045780A" w:rsidRPr="0045780A">
        <w:rPr>
          <w:rFonts w:ascii="Century" w:hAnsi="Century"/>
        </w:rPr>
        <w:t xml:space="preserve"> diagonal uno cero cinco uno </w:t>
      </w:r>
      <w:r w:rsidR="0045780A">
        <w:rPr>
          <w:rFonts w:ascii="Century" w:hAnsi="Century"/>
        </w:rPr>
        <w:t>cuatro</w:t>
      </w:r>
      <w:r w:rsidR="0045780A" w:rsidRPr="0045780A">
        <w:rPr>
          <w:rFonts w:ascii="Century" w:hAnsi="Century"/>
        </w:rPr>
        <w:t xml:space="preserve"> diagonal dos mil quince)</w:t>
      </w:r>
      <w:r w:rsidR="0045780A">
        <w:rPr>
          <w:rFonts w:ascii="Century" w:hAnsi="Century"/>
        </w:rPr>
        <w:t xml:space="preserve">; y </w:t>
      </w:r>
      <w:r w:rsidRPr="00E1257C">
        <w:rPr>
          <w:rFonts w:ascii="Century" w:hAnsi="Century"/>
        </w:rPr>
        <w:t>como a</w:t>
      </w:r>
      <w:r w:rsidR="0045780A">
        <w:rPr>
          <w:rFonts w:ascii="Century" w:hAnsi="Century"/>
        </w:rPr>
        <w:t>utoridades demandadas señala a la Tesorería Municipal, La Dirección de Impuestos Inmobiliarios y la Dirección General de Ingresos. ----------------------</w:t>
      </w:r>
    </w:p>
    <w:p w14:paraId="61044F62" w14:textId="77777777" w:rsidR="00E1257C" w:rsidRPr="00E1257C" w:rsidRDefault="00E1257C" w:rsidP="00E1257C">
      <w:pPr>
        <w:spacing w:line="360" w:lineRule="auto"/>
        <w:ind w:firstLine="709"/>
        <w:jc w:val="both"/>
        <w:rPr>
          <w:rFonts w:ascii="Century" w:hAnsi="Century"/>
          <w:b/>
        </w:rPr>
      </w:pPr>
    </w:p>
    <w:p w14:paraId="3BB3BE39" w14:textId="55F6BD07" w:rsidR="008D1EC9" w:rsidRDefault="00E1257C" w:rsidP="00B6457E">
      <w:pPr>
        <w:pStyle w:val="SENTENCIAS"/>
      </w:pPr>
      <w:r w:rsidRPr="00E1257C">
        <w:rPr>
          <w:b/>
        </w:rPr>
        <w:t xml:space="preserve">SEGUNDO. </w:t>
      </w:r>
      <w:r w:rsidRPr="00E1257C">
        <w:t xml:space="preserve">Por auto de fecha </w:t>
      </w:r>
      <w:r w:rsidR="00B6457E">
        <w:t>2</w:t>
      </w:r>
      <w:r w:rsidR="008D1EC9">
        <w:t xml:space="preserve">9 veintinueve de octubre del año 2015 dos mil quince, </w:t>
      </w:r>
      <w:r w:rsidR="00B6457E">
        <w:t xml:space="preserve">se </w:t>
      </w:r>
      <w:r w:rsidR="00930A12">
        <w:t>a</w:t>
      </w:r>
      <w:r w:rsidR="008D1EC9">
        <w:t>dmite a trámite la demanda, en contra de actos de la Dirección de Impuestos Inmobiliarios de León, Guanajuato, no así en contra de la Dirección General de Ingresos, ni de la Tesorería Municipal, en razón de que ni del documento que exhibe, ni de la relación de hechos y conceptos de impugnación, se desprende que esas autoridades hayan emitido acto administrativo alguno. ---------------------------------------------------------------------------</w:t>
      </w:r>
    </w:p>
    <w:p w14:paraId="5DA239B6" w14:textId="77777777" w:rsidR="008D1EC9" w:rsidRDefault="008D1EC9" w:rsidP="00B6457E">
      <w:pPr>
        <w:pStyle w:val="SENTENCIAS"/>
      </w:pPr>
    </w:p>
    <w:p w14:paraId="1287E8AC" w14:textId="2844C598" w:rsidR="008968DC" w:rsidRDefault="008D1EC9" w:rsidP="00B6457E">
      <w:pPr>
        <w:pStyle w:val="SENTENCIAS"/>
      </w:pPr>
      <w:r>
        <w:lastRenderedPageBreak/>
        <w:t xml:space="preserve">Por lo que </w:t>
      </w:r>
      <w:r w:rsidR="00E1257C" w:rsidRPr="00930A12">
        <w:t xml:space="preserve">se ordena correr traslado a la autoridad demandada, se </w:t>
      </w:r>
      <w:r w:rsidR="008968DC">
        <w:t>tiene a la parte actora por ofreciendo como pruebas de su intención las que refiere en su escrito de demanda, de las cuales se admiten las siguientes:</w:t>
      </w:r>
      <w:r w:rsidR="00BA4B5F">
        <w:t xml:space="preserve"> ---------------</w:t>
      </w:r>
    </w:p>
    <w:p w14:paraId="53701B7C" w14:textId="0ED97040" w:rsidR="008968DC" w:rsidRDefault="008968DC" w:rsidP="008968DC">
      <w:pPr>
        <w:pStyle w:val="SENTENCIAS"/>
        <w:numPr>
          <w:ilvl w:val="0"/>
          <w:numId w:val="39"/>
        </w:numPr>
      </w:pPr>
      <w:r>
        <w:t>La documental que describe con el número 1 uno del capítulo de pruebas de su escrito inicial de demanda, misma que adjunta, y en ese momento se tienen por desahogadas dada su propia naturaleza y de las que se ordena guardar el original y la copia al carbón en el Secreto del Juzgado. ----------------------------------------------------------------</w:t>
      </w:r>
    </w:p>
    <w:p w14:paraId="47110EAD" w14:textId="21226F3C" w:rsidR="008968DC" w:rsidRDefault="008968DC" w:rsidP="008968DC">
      <w:pPr>
        <w:pStyle w:val="SENTENCIAS"/>
        <w:numPr>
          <w:ilvl w:val="0"/>
          <w:numId w:val="39"/>
        </w:numPr>
      </w:pPr>
      <w:r>
        <w:t>Los informes de la autoridad, por lo que se requiere a la Dirección de Impuestos Inmobiliarios a efecto de que, por escrito, proporcione informe en los términos de lo puntualizado por la actora en el punto 2 dos del escrito de demanda, sobre los hechos de que tenga conocimiento con motivo o durante el desempeño de sus funciones, en lo correspondiente al acto impugnado en el presente proceso administrativo. ------------------------------------------------------------------------</w:t>
      </w:r>
    </w:p>
    <w:p w14:paraId="54216A17" w14:textId="0F627EF5" w:rsidR="008968DC" w:rsidRDefault="008968DC" w:rsidP="008968DC">
      <w:pPr>
        <w:pStyle w:val="SENTENCIAS"/>
        <w:numPr>
          <w:ilvl w:val="0"/>
          <w:numId w:val="39"/>
        </w:numPr>
      </w:pPr>
      <w:r>
        <w:t>La presun</w:t>
      </w:r>
      <w:r w:rsidR="00FF6EC1">
        <w:t>c</w:t>
      </w:r>
      <w:r>
        <w:t>ional legal y humana en lo que beneficie al oferente. ------</w:t>
      </w:r>
    </w:p>
    <w:p w14:paraId="42E76E3A" w14:textId="77777777" w:rsidR="008968DC" w:rsidRDefault="008968DC" w:rsidP="008968DC">
      <w:pPr>
        <w:pStyle w:val="SENTENCIAS"/>
        <w:ind w:left="1068" w:firstLine="0"/>
      </w:pPr>
    </w:p>
    <w:p w14:paraId="3506C6E0" w14:textId="7AAFB7FE" w:rsidR="008968DC" w:rsidRPr="008968DC" w:rsidRDefault="008968DC" w:rsidP="008968DC">
      <w:pPr>
        <w:pStyle w:val="SENTENCIAS"/>
      </w:pPr>
      <w:r w:rsidRPr="008968DC">
        <w:t>En cuanto a la suspensión de los actos impugnados, solicitada por la actora, se concede para el efecto de que se mantengan las cosas en el estado en que se encuentran, hasta en tanto se dicte la resolución definitiva en el presente proceso administrativo, por lo que la autoridad demandada deberá suspender el Procedimiento Administrativo de Ejecución para el cobro del crédito. --------</w:t>
      </w:r>
      <w:r>
        <w:t>----------------------------------------------------------------------------------------</w:t>
      </w:r>
    </w:p>
    <w:p w14:paraId="515D5016" w14:textId="77777777" w:rsidR="008968DC" w:rsidRDefault="008968DC" w:rsidP="008968DC">
      <w:pPr>
        <w:pStyle w:val="SENTENCIAS"/>
        <w:ind w:left="1068" w:firstLine="0"/>
      </w:pPr>
    </w:p>
    <w:p w14:paraId="7463FDF4" w14:textId="6319647D" w:rsidR="00B40149" w:rsidRDefault="004A3060" w:rsidP="00574976">
      <w:pPr>
        <w:spacing w:line="360" w:lineRule="auto"/>
        <w:ind w:firstLine="709"/>
        <w:jc w:val="both"/>
        <w:rPr>
          <w:rFonts w:ascii="Century" w:hAnsi="Century"/>
        </w:rPr>
      </w:pPr>
      <w:r>
        <w:rPr>
          <w:rFonts w:ascii="Century" w:hAnsi="Century"/>
          <w:b/>
        </w:rPr>
        <w:t>TERCERO</w:t>
      </w:r>
      <w:r w:rsidR="00E1257C" w:rsidRPr="00E1257C">
        <w:rPr>
          <w:rFonts w:ascii="Century" w:hAnsi="Century"/>
          <w:b/>
        </w:rPr>
        <w:t>.</w:t>
      </w:r>
      <w:r w:rsidR="00E1257C" w:rsidRPr="00E1257C">
        <w:rPr>
          <w:rFonts w:ascii="Century" w:hAnsi="Century"/>
        </w:rPr>
        <w:t xml:space="preserve"> Mediante proveído de fecha </w:t>
      </w:r>
      <w:r w:rsidR="00B40149">
        <w:rPr>
          <w:rFonts w:ascii="Century" w:hAnsi="Century"/>
        </w:rPr>
        <w:t xml:space="preserve">20 veinte de noviembre del año 2015 dos mil quince, se tiene a la demandada por rindiendo el informe requerido </w:t>
      </w:r>
      <w:r w:rsidR="00BA4B5F">
        <w:rPr>
          <w:rFonts w:ascii="Century" w:hAnsi="Century"/>
        </w:rPr>
        <w:t>en</w:t>
      </w:r>
      <w:r w:rsidR="00B40149">
        <w:rPr>
          <w:rFonts w:ascii="Century" w:hAnsi="Century"/>
        </w:rPr>
        <w:t xml:space="preserve"> fecha 29 veintinueve de octubre del año 2015 dos mil quince, mismo que se admitió como prueba a la parte actora, </w:t>
      </w:r>
      <w:r w:rsidR="00B23B28">
        <w:rPr>
          <w:rFonts w:ascii="Century" w:hAnsi="Century"/>
        </w:rPr>
        <w:t xml:space="preserve">y </w:t>
      </w:r>
      <w:r w:rsidR="00B40149">
        <w:rPr>
          <w:rFonts w:ascii="Century" w:hAnsi="Century"/>
        </w:rPr>
        <w:t>que</w:t>
      </w:r>
      <w:r w:rsidR="00B23B28">
        <w:rPr>
          <w:rFonts w:ascii="Century" w:hAnsi="Century"/>
        </w:rPr>
        <w:t>,</w:t>
      </w:r>
      <w:r w:rsidR="00B40149">
        <w:rPr>
          <w:rFonts w:ascii="Century" w:hAnsi="Century"/>
        </w:rPr>
        <w:t xml:space="preserve"> dada su naturaleza se tiene por desahogado en ese momento, de igual manera se tiene por contestando en tiempo y forma legal la demanda. ----</w:t>
      </w:r>
      <w:r w:rsidR="00B23B28">
        <w:rPr>
          <w:rFonts w:ascii="Century" w:hAnsi="Century"/>
        </w:rPr>
        <w:t>--</w:t>
      </w:r>
      <w:r w:rsidR="00BA4B5F">
        <w:rPr>
          <w:rFonts w:ascii="Century" w:hAnsi="Century"/>
        </w:rPr>
        <w:t>----------------</w:t>
      </w:r>
      <w:r w:rsidR="00B23B28">
        <w:rPr>
          <w:rFonts w:ascii="Century" w:hAnsi="Century"/>
        </w:rPr>
        <w:t>----------</w:t>
      </w:r>
      <w:r w:rsidR="00B40149">
        <w:rPr>
          <w:rFonts w:ascii="Century" w:hAnsi="Century"/>
        </w:rPr>
        <w:t>------</w:t>
      </w:r>
    </w:p>
    <w:p w14:paraId="15525944" w14:textId="77777777" w:rsidR="00B40149" w:rsidRDefault="00B40149" w:rsidP="00574976">
      <w:pPr>
        <w:spacing w:line="360" w:lineRule="auto"/>
        <w:ind w:firstLine="709"/>
        <w:jc w:val="both"/>
        <w:rPr>
          <w:rFonts w:ascii="Century" w:hAnsi="Century"/>
        </w:rPr>
      </w:pPr>
    </w:p>
    <w:p w14:paraId="09AF9F64" w14:textId="77777777" w:rsidR="00B706DC" w:rsidRDefault="00B706DC" w:rsidP="00574976">
      <w:pPr>
        <w:spacing w:line="360" w:lineRule="auto"/>
        <w:ind w:firstLine="709"/>
        <w:jc w:val="both"/>
        <w:rPr>
          <w:rFonts w:ascii="Century" w:hAnsi="Century"/>
        </w:rPr>
      </w:pPr>
      <w:r>
        <w:rPr>
          <w:rFonts w:ascii="Century" w:hAnsi="Century"/>
        </w:rPr>
        <w:t>Se le tienen por ofrecidas y se le admiten como pruebas las siguientes:</w:t>
      </w:r>
    </w:p>
    <w:p w14:paraId="603C4D06" w14:textId="69BB3BD7" w:rsidR="00160C6A" w:rsidRDefault="00B706DC" w:rsidP="00B706DC">
      <w:pPr>
        <w:pStyle w:val="Prrafodelista"/>
        <w:numPr>
          <w:ilvl w:val="0"/>
          <w:numId w:val="40"/>
        </w:numPr>
        <w:spacing w:line="360" w:lineRule="auto"/>
        <w:jc w:val="both"/>
        <w:rPr>
          <w:rFonts w:ascii="Century" w:hAnsi="Century"/>
        </w:rPr>
      </w:pPr>
      <w:r>
        <w:rPr>
          <w:rFonts w:ascii="Century" w:hAnsi="Century"/>
        </w:rPr>
        <w:t>La documental admitida a la parte actora, así como la que adjunta a su escrito de contestación</w:t>
      </w:r>
      <w:r w:rsidR="00CD7D6F">
        <w:rPr>
          <w:rFonts w:ascii="Century" w:hAnsi="Century"/>
        </w:rPr>
        <w:t>,</w:t>
      </w:r>
      <w:r>
        <w:rPr>
          <w:rFonts w:ascii="Century" w:hAnsi="Century"/>
        </w:rPr>
        <w:t xml:space="preserve"> consistente en la copia certificada de su nombramiento, mismas que dada su naturaleza, en ese momento se tiene por desahogadas. ------------------------------------------------------------2. </w:t>
      </w:r>
      <w:r w:rsidR="00160C6A">
        <w:rPr>
          <w:rFonts w:ascii="Century" w:hAnsi="Century"/>
        </w:rPr>
        <w:t>La presuncional legal y human</w:t>
      </w:r>
      <w:r w:rsidR="00CD7D6F">
        <w:rPr>
          <w:rFonts w:ascii="Century" w:hAnsi="Century"/>
        </w:rPr>
        <w:t>a</w:t>
      </w:r>
      <w:r w:rsidR="00160C6A">
        <w:rPr>
          <w:rFonts w:ascii="Century" w:hAnsi="Century"/>
        </w:rPr>
        <w:t>, en lo que beneficie al oferente. –</w:t>
      </w:r>
    </w:p>
    <w:p w14:paraId="6BF5F340" w14:textId="77777777" w:rsidR="00160C6A" w:rsidRDefault="00160C6A" w:rsidP="00160C6A">
      <w:pPr>
        <w:pStyle w:val="Prrafodelista"/>
        <w:spacing w:line="360" w:lineRule="auto"/>
        <w:ind w:left="1069"/>
        <w:jc w:val="both"/>
        <w:rPr>
          <w:rFonts w:ascii="Century" w:hAnsi="Century"/>
        </w:rPr>
      </w:pPr>
    </w:p>
    <w:p w14:paraId="2A94C93B" w14:textId="15E7FD9E" w:rsidR="00160C6A" w:rsidRDefault="00160C6A" w:rsidP="00160C6A">
      <w:pPr>
        <w:pStyle w:val="SENTENCIAS"/>
      </w:pPr>
      <w:r>
        <w:t>Por otro lado</w:t>
      </w:r>
      <w:r w:rsidR="00DB2711">
        <w:t>,</w:t>
      </w:r>
      <w:r>
        <w:t xml:space="preserve"> se le requiere para que dentro de 5 cinco días hábiles, presente la documental a que hace referencia en el capítulo de pruebas de su escrito de contestación, consistente en las copias certificadas de los 3 tres convenios de reversión parcial de propiedad y extinción parcial del fideicomiso, apercibida que, para el caso de no dar cumplimiento en el término señalado, se le tendrá por no ofrecida dicha documental. -----------------------------------------------</w:t>
      </w:r>
    </w:p>
    <w:p w14:paraId="7F6E59FA" w14:textId="77777777" w:rsidR="00160C6A" w:rsidRDefault="00160C6A" w:rsidP="00160C6A">
      <w:pPr>
        <w:pStyle w:val="Prrafodelista"/>
        <w:spacing w:line="360" w:lineRule="auto"/>
        <w:ind w:left="1069"/>
        <w:jc w:val="both"/>
        <w:rPr>
          <w:rFonts w:ascii="Century" w:hAnsi="Century"/>
        </w:rPr>
      </w:pPr>
    </w:p>
    <w:p w14:paraId="280FE42E" w14:textId="1EBE6495" w:rsidR="003C47D7" w:rsidRDefault="003C47D7" w:rsidP="003C47D7">
      <w:pPr>
        <w:pStyle w:val="SENTENCIAS"/>
      </w:pPr>
      <w:r w:rsidRPr="003C47D7">
        <w:rPr>
          <w:b/>
        </w:rPr>
        <w:t>CUARTO</w:t>
      </w:r>
      <w:r>
        <w:t xml:space="preserve">. </w:t>
      </w:r>
      <w:r w:rsidR="00891D17">
        <w:t>Por acuerdo</w:t>
      </w:r>
      <w:r>
        <w:t xml:space="preserve"> de fecha 03 tres de diciembre del año 2015 dos mil quince, y toda vez que la Dirección de Impuestos Inmobiliarios no exhibió la documental requerida mediante auto de fecha 20 veinte de noviembre del año 2015 dos mil quince, se le hace efectivo el apercibimiento y se le tiene por no ofrecida como prueba de su intención. -----------</w:t>
      </w:r>
      <w:r w:rsidR="00891D17">
        <w:t>---------------------</w:t>
      </w:r>
      <w:r>
        <w:t>------------------</w:t>
      </w:r>
    </w:p>
    <w:p w14:paraId="154EE393" w14:textId="77777777" w:rsidR="003C47D7" w:rsidRDefault="003C47D7" w:rsidP="00160C6A">
      <w:pPr>
        <w:pStyle w:val="Prrafodelista"/>
        <w:spacing w:line="360" w:lineRule="auto"/>
        <w:ind w:left="1069"/>
        <w:jc w:val="both"/>
        <w:rPr>
          <w:rFonts w:ascii="Century" w:hAnsi="Century"/>
        </w:rPr>
      </w:pPr>
    </w:p>
    <w:p w14:paraId="5BB3B6AA" w14:textId="5DEBB4F3" w:rsidR="003C47D7" w:rsidRDefault="003C47D7" w:rsidP="003C47D7">
      <w:pPr>
        <w:pStyle w:val="SENTENCIAS"/>
      </w:pPr>
      <w:r>
        <w:t>Por otro lado, se regulariza el proceso para el solo efecto de admitir a la autoridad demandada como prueba de su intención la documental consistente en 3 tres copias simples de formatos de declaración de impuestos inmobiliarios, que adjuntó a su escrito de contestación, documental que dada su naturaleza se tiene en ese momento por desahogada</w:t>
      </w:r>
      <w:r w:rsidR="00891D17">
        <w:t>;</w:t>
      </w:r>
      <w:r>
        <w:t xml:space="preserve"> se señala fecha y hora para la celebración de la audiencia de alegatos. ----------------------------------------------------</w:t>
      </w:r>
    </w:p>
    <w:p w14:paraId="73B34B1B" w14:textId="77777777" w:rsidR="003C47D7" w:rsidRDefault="003C47D7" w:rsidP="00160C6A">
      <w:pPr>
        <w:pStyle w:val="Prrafodelista"/>
        <w:spacing w:line="360" w:lineRule="auto"/>
        <w:ind w:left="1069"/>
        <w:jc w:val="both"/>
        <w:rPr>
          <w:rFonts w:ascii="Century" w:hAnsi="Century"/>
        </w:rPr>
      </w:pPr>
    </w:p>
    <w:p w14:paraId="078E91DB" w14:textId="27355BCE" w:rsidR="00E1257C" w:rsidRDefault="004A3060" w:rsidP="00E1257C">
      <w:pPr>
        <w:spacing w:line="360" w:lineRule="auto"/>
        <w:ind w:firstLine="709"/>
        <w:jc w:val="both"/>
        <w:rPr>
          <w:rFonts w:ascii="Century" w:hAnsi="Century"/>
        </w:rPr>
      </w:pPr>
      <w:r w:rsidRPr="004A3060">
        <w:rPr>
          <w:rFonts w:ascii="Century" w:hAnsi="Century"/>
          <w:b/>
        </w:rPr>
        <w:t>QUINTO.</w:t>
      </w:r>
      <w:r>
        <w:rPr>
          <w:rFonts w:ascii="Century" w:hAnsi="Century"/>
        </w:rPr>
        <w:t xml:space="preserve"> </w:t>
      </w:r>
      <w:r w:rsidR="008E7B25">
        <w:rPr>
          <w:rFonts w:ascii="Century" w:hAnsi="Century"/>
        </w:rPr>
        <w:t>El día 05 cinco de febrero del año 2016 dos mil dieciséis,</w:t>
      </w:r>
      <w:r w:rsidR="00EE55BF">
        <w:rPr>
          <w:rFonts w:ascii="Century" w:hAnsi="Century"/>
        </w:rPr>
        <w:t xml:space="preserve"> </w:t>
      </w:r>
      <w:r w:rsidR="00E1257C" w:rsidRPr="00E1257C">
        <w:rPr>
          <w:rFonts w:ascii="Century" w:hAnsi="Century"/>
        </w:rPr>
        <w:t>a las 1</w:t>
      </w:r>
      <w:r w:rsidR="008E7B25">
        <w:rPr>
          <w:rFonts w:ascii="Century" w:hAnsi="Century"/>
        </w:rPr>
        <w:t>0</w:t>
      </w:r>
      <w:r w:rsidR="00E1257C" w:rsidRPr="00E1257C">
        <w:rPr>
          <w:rFonts w:ascii="Century" w:hAnsi="Century"/>
        </w:rPr>
        <w:t>:</w:t>
      </w:r>
      <w:r w:rsidR="000917DD">
        <w:rPr>
          <w:rFonts w:ascii="Century" w:hAnsi="Century"/>
        </w:rPr>
        <w:t>0</w:t>
      </w:r>
      <w:r w:rsidR="00E1257C" w:rsidRPr="00E1257C">
        <w:rPr>
          <w:rFonts w:ascii="Century" w:hAnsi="Century"/>
        </w:rPr>
        <w:t xml:space="preserve">0 </w:t>
      </w:r>
      <w:r w:rsidR="008E7B25">
        <w:rPr>
          <w:rFonts w:ascii="Century" w:hAnsi="Century"/>
        </w:rPr>
        <w:t>diez</w:t>
      </w:r>
      <w:r w:rsidR="000917DD">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w:t>
      </w:r>
      <w:r w:rsidR="008E7B25">
        <w:rPr>
          <w:rFonts w:ascii="Century" w:hAnsi="Century"/>
        </w:rPr>
        <w:t>istencia de las partes</w:t>
      </w:r>
      <w:r w:rsidR="00E1257C" w:rsidRPr="00E1257C">
        <w:rPr>
          <w:rFonts w:ascii="Century" w:hAnsi="Century"/>
        </w:rPr>
        <w:t>. ----</w:t>
      </w:r>
      <w:r>
        <w:rPr>
          <w:rFonts w:ascii="Century" w:hAnsi="Century"/>
        </w:rPr>
        <w:t>--------</w:t>
      </w:r>
      <w:r w:rsidR="008E7B25">
        <w:rPr>
          <w:rFonts w:ascii="Century" w:hAnsi="Century"/>
        </w:rPr>
        <w:t>----------</w:t>
      </w:r>
    </w:p>
    <w:p w14:paraId="450FB35F" w14:textId="32280EDD" w:rsidR="008E7B25" w:rsidRDefault="008E7B25" w:rsidP="00E1257C">
      <w:pPr>
        <w:spacing w:line="360" w:lineRule="auto"/>
        <w:ind w:firstLine="709"/>
        <w:jc w:val="both"/>
        <w:rPr>
          <w:rFonts w:ascii="Century" w:hAnsi="Century"/>
        </w:rPr>
      </w:pPr>
    </w:p>
    <w:p w14:paraId="45CF128B" w14:textId="2FE92943" w:rsidR="008E7B25" w:rsidRPr="00E1257C" w:rsidRDefault="008E7B25" w:rsidP="00E1257C">
      <w:pPr>
        <w:spacing w:line="360" w:lineRule="auto"/>
        <w:ind w:firstLine="709"/>
        <w:jc w:val="both"/>
        <w:rPr>
          <w:rFonts w:ascii="Century" w:hAnsi="Century"/>
          <w:b/>
          <w:bCs/>
          <w:iCs/>
        </w:rPr>
      </w:pPr>
      <w:r w:rsidRPr="00EF1580">
        <w:rPr>
          <w:rFonts w:ascii="Century" w:hAnsi="Century"/>
          <w:b/>
        </w:rPr>
        <w:t xml:space="preserve">SEXTO. </w:t>
      </w:r>
      <w:r w:rsidR="00EF1580">
        <w:rPr>
          <w:rFonts w:ascii="Century" w:hAnsi="Century"/>
        </w:rPr>
        <w:t>Por acuerdo de fecha 26 veintiséis de septiembre del año 2017 dos mil diecisiete, el Juzgado Segundo Administrativo, deja de conocer de la presente causa administrativa y lo remite a este Juzgado Tercero para su prosecución procesal; por lo que se emite la presente sentencia. --------------------</w:t>
      </w:r>
    </w:p>
    <w:p w14:paraId="037E278C" w14:textId="5868F64A" w:rsidR="00E1257C" w:rsidRDefault="00E1257C" w:rsidP="00E1257C">
      <w:pPr>
        <w:spacing w:line="360" w:lineRule="auto"/>
        <w:ind w:firstLine="709"/>
        <w:jc w:val="both"/>
        <w:rPr>
          <w:rFonts w:ascii="Century" w:hAnsi="Century"/>
          <w:b/>
          <w:bCs/>
          <w:iCs/>
        </w:rPr>
      </w:pPr>
    </w:p>
    <w:p w14:paraId="4059DBD0" w14:textId="77777777" w:rsidR="003037B7" w:rsidRPr="00E1257C" w:rsidRDefault="003037B7"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3B20893" w14:textId="06B248CB" w:rsidR="00EE55BF" w:rsidRPr="007D0C4C" w:rsidRDefault="00EE55BF" w:rsidP="00EE55BF">
      <w:pPr>
        <w:pStyle w:val="SENTENCIAS"/>
        <w:rPr>
          <w:rFonts w:cs="Calibri"/>
          <w:b/>
          <w:bCs/>
        </w:rPr>
      </w:pPr>
      <w:r w:rsidRPr="007D0C4C">
        <w:rPr>
          <w:b/>
        </w:rPr>
        <w:t>PRIMERO.</w:t>
      </w:r>
      <w:r>
        <w:t xml:space="preserve"> </w:t>
      </w:r>
      <w:r w:rsidR="006022CF">
        <w:t>C</w:t>
      </w:r>
      <w:r w:rsidR="006022CF" w:rsidRPr="007D0C4C">
        <w:t>on</w:t>
      </w:r>
      <w:r w:rsidR="006022CF">
        <w:t xml:space="preserve"> fundamento en lo dispuesto</w:t>
      </w:r>
      <w:r w:rsidR="006022CF" w:rsidRPr="007D0C4C">
        <w:t xml:space="preserve"> por los artículos </w:t>
      </w:r>
      <w:r w:rsidR="006022CF" w:rsidRPr="007D0C4C">
        <w:rPr>
          <w:rFonts w:cs="Arial"/>
          <w:bCs/>
        </w:rPr>
        <w:t>243</w:t>
      </w:r>
      <w:r w:rsidR="006022CF" w:rsidRPr="007D0C4C">
        <w:rPr>
          <w:rFonts w:cs="Arial"/>
        </w:rPr>
        <w:t xml:space="preserve"> </w:t>
      </w:r>
      <w:r w:rsidR="006022CF" w:rsidRPr="007D0C4C">
        <w:t>párrafo segundo y 244 de la Ley Orgánica Municipal para el Estado de Guanajuato; 1 fracción II y 3 párrafo segundo, del Código de Procedimiento y Justicia Administrativa para el Estado y los Municipios de Guanajuato</w:t>
      </w:r>
      <w:r w:rsidR="006022CF">
        <w:t>; y derivado del acuerdo del Honorable Ayuntamiento de fecha 29 veintinueve de septiembre del año 2016 dos mil dieciséis, por el cual aprobó la creación del Juzgado Tercero Administrativo Municipal, en León, Guanajuato</w:t>
      </w:r>
      <w:r w:rsidR="006022CF" w:rsidRPr="007D0C4C">
        <w:t xml:space="preserve">, </w:t>
      </w:r>
      <w:r w:rsidR="006022CF">
        <w:t xml:space="preserve">mismo que </w:t>
      </w:r>
      <w:r w:rsidR="006022CF" w:rsidRPr="00A14B99">
        <w:rPr>
          <w:rStyle w:val="RESOLUCIONESCar"/>
        </w:rPr>
        <w:t xml:space="preserve">fue formalmente instalado el 21 veintiuno de septiembre del </w:t>
      </w:r>
      <w:r w:rsidR="006022CF">
        <w:rPr>
          <w:rStyle w:val="RESOLUCIONESCar"/>
        </w:rPr>
        <w:t>año 2017 dos mil diecisiete</w:t>
      </w:r>
      <w:r w:rsidR="006022CF" w:rsidRPr="00A14B99">
        <w:rPr>
          <w:rStyle w:val="RESOLUCIONESCar"/>
        </w:rPr>
        <w:t xml:space="preserve">, así como </w:t>
      </w:r>
      <w:r w:rsidR="006022CF">
        <w:rPr>
          <w:rStyle w:val="RESOLUCIONESCar"/>
        </w:rPr>
        <w:t>d</w:t>
      </w:r>
      <w:r w:rsidR="006022CF" w:rsidRPr="00A14B99">
        <w:rPr>
          <w:rStyle w:val="RESOLUCIONESCar"/>
        </w:rPr>
        <w:t>el acuerdo de fecha 2</w:t>
      </w:r>
      <w:r w:rsidR="006022CF">
        <w:rPr>
          <w:rStyle w:val="RESOLUCIONESCar"/>
        </w:rPr>
        <w:t xml:space="preserve">6 veintiséis </w:t>
      </w:r>
      <w:r w:rsidR="006022CF" w:rsidRPr="00A14B99">
        <w:rPr>
          <w:rStyle w:val="RESOLUCIONESCar"/>
        </w:rPr>
        <w:t xml:space="preserve">de septiembre del </w:t>
      </w:r>
      <w:r w:rsidR="006022CF">
        <w:rPr>
          <w:rStyle w:val="RESOLUCIONESCar"/>
        </w:rPr>
        <w:t>mismo</w:t>
      </w:r>
      <w:r w:rsidR="006022CF" w:rsidRPr="00A14B99">
        <w:rPr>
          <w:rStyle w:val="RESOLUCIONESCar"/>
        </w:rPr>
        <w:t xml:space="preserve"> año, </w:t>
      </w:r>
      <w:r w:rsidR="006022CF">
        <w:rPr>
          <w:rStyle w:val="RESOLUCIONESCar"/>
        </w:rPr>
        <w:t xml:space="preserve">dictado por </w:t>
      </w:r>
      <w:r w:rsidR="006022CF" w:rsidRPr="00A14B99">
        <w:rPr>
          <w:rStyle w:val="RESOLUCIONESCar"/>
        </w:rPr>
        <w:t xml:space="preserve">el Juzgado </w:t>
      </w:r>
      <w:r w:rsidR="006022CF">
        <w:rPr>
          <w:rStyle w:val="RESOLUCIONESCar"/>
        </w:rPr>
        <w:t>Segundo</w:t>
      </w:r>
      <w:r w:rsidR="006022CF" w:rsidRPr="00A14B99">
        <w:rPr>
          <w:rStyle w:val="RESOLUCIONESCar"/>
        </w:rPr>
        <w:t xml:space="preserve"> Administrativo Municipal </w:t>
      </w:r>
      <w:r w:rsidR="006022CF">
        <w:rPr>
          <w:rStyle w:val="RESOLUCIONESCar"/>
        </w:rPr>
        <w:t xml:space="preserve">por el que determina dejar </w:t>
      </w:r>
      <w:r w:rsidR="006022CF" w:rsidRPr="00A14B99">
        <w:rPr>
          <w:rStyle w:val="RESOLUCIONESCar"/>
        </w:rPr>
        <w:t xml:space="preserve">de conocer la presente causa administrativa y lo remite a este Juzgado Tercero Administrativo para su prosecución procesal; </w:t>
      </w:r>
      <w:r w:rsidR="006022CF">
        <w:rPr>
          <w:rStyle w:val="RESOLUCIONESCar"/>
        </w:rPr>
        <w:t xml:space="preserve">resultando por lo tanto </w:t>
      </w:r>
      <w:r w:rsidR="006022CF" w:rsidRPr="00A14B99">
        <w:rPr>
          <w:rStyle w:val="RESOLUCIONESCar"/>
        </w:rPr>
        <w:t xml:space="preserve">este Juzgado competente para tramitar y resolver este proceso, además por impugnarse un acto administrativo emitido por </w:t>
      </w:r>
      <w:r w:rsidR="006022CF">
        <w:rPr>
          <w:rStyle w:val="RESOLUCIONESCar"/>
        </w:rPr>
        <w:t>una autoridad del municipio de León, Guanajuato. --------------------------------------------------------------</w:t>
      </w:r>
    </w:p>
    <w:p w14:paraId="33246CEC" w14:textId="77777777" w:rsidR="00E5058C" w:rsidRPr="00EE55BF" w:rsidRDefault="00E5058C" w:rsidP="00E5058C">
      <w:pPr>
        <w:pStyle w:val="Textoindependiente"/>
        <w:spacing w:line="360" w:lineRule="auto"/>
        <w:rPr>
          <w:rFonts w:ascii="Century" w:hAnsi="Century" w:cs="Calibri"/>
          <w:b/>
          <w:bCs/>
          <w:lang w:val="es-ES"/>
        </w:rPr>
      </w:pPr>
    </w:p>
    <w:p w14:paraId="67212580" w14:textId="14B2349C"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CB5BD0">
        <w:rPr>
          <w:rFonts w:ascii="Century" w:hAnsi="Century"/>
          <w:lang w:val="es-MX"/>
        </w:rPr>
        <w:t xml:space="preserve"> </w:t>
      </w:r>
      <w:r w:rsidRPr="00E1257C">
        <w:rPr>
          <w:rFonts w:ascii="Century" w:hAnsi="Century"/>
          <w:lang w:val="es-MX"/>
        </w:rPr>
        <w:t>l</w:t>
      </w:r>
      <w:r w:rsidR="00CB5BD0">
        <w:rPr>
          <w:rFonts w:ascii="Century" w:hAnsi="Century"/>
          <w:lang w:val="es-MX"/>
        </w:rPr>
        <w:t xml:space="preserve">os actos impugnados, </w:t>
      </w:r>
      <w:r w:rsidR="00BA3253">
        <w:rPr>
          <w:rFonts w:ascii="Century" w:hAnsi="Century"/>
          <w:lang w:val="es-MX"/>
        </w:rPr>
        <w:t xml:space="preserve">lo que fue el día </w:t>
      </w:r>
      <w:r w:rsidR="00CB5BD0">
        <w:rPr>
          <w:rFonts w:ascii="Century" w:hAnsi="Century"/>
          <w:lang w:val="es-MX"/>
        </w:rPr>
        <w:t xml:space="preserve">15 quince de septiembre del año 2015 dos mil quince, </w:t>
      </w:r>
      <w:r w:rsidRPr="00E1257C">
        <w:rPr>
          <w:rFonts w:ascii="Century" w:hAnsi="Century"/>
          <w:lang w:val="es-MX"/>
        </w:rPr>
        <w:t xml:space="preserve">y la demanda fue presentada el </w:t>
      </w:r>
      <w:r w:rsidR="000917DD">
        <w:rPr>
          <w:rFonts w:ascii="Century" w:hAnsi="Century"/>
          <w:lang w:val="es-MX"/>
        </w:rPr>
        <w:t>2</w:t>
      </w:r>
      <w:r w:rsidR="00CB5BD0">
        <w:rPr>
          <w:rFonts w:ascii="Century" w:hAnsi="Century"/>
          <w:lang w:val="es-MX"/>
        </w:rPr>
        <w:t xml:space="preserve">7 veintisiete de octubre del </w:t>
      </w:r>
      <w:r w:rsidRPr="00E1257C">
        <w:rPr>
          <w:rFonts w:ascii="Century" w:hAnsi="Century"/>
          <w:lang w:val="es-MX"/>
        </w:rPr>
        <w:t xml:space="preserve">mismo año. </w:t>
      </w:r>
      <w:r w:rsidR="00674A67">
        <w:rPr>
          <w:rFonts w:ascii="Century" w:hAnsi="Century"/>
          <w:lang w:val="es-MX"/>
        </w:rPr>
        <w:t>--------</w:t>
      </w:r>
      <w:r w:rsidRPr="00E1257C">
        <w:rPr>
          <w:rFonts w:ascii="Century" w:hAnsi="Century"/>
          <w:lang w:val="es-MX"/>
        </w:rPr>
        <w:t>--------------</w:t>
      </w:r>
      <w:r w:rsidR="00EE55BF">
        <w:rPr>
          <w:rFonts w:ascii="Century" w:hAnsi="Century"/>
          <w:lang w:val="es-MX"/>
        </w:rPr>
        <w:t>------</w:t>
      </w:r>
      <w:r w:rsidRPr="00E1257C">
        <w:rPr>
          <w:rFonts w:ascii="Century" w:hAnsi="Century"/>
          <w:lang w:val="es-MX"/>
        </w:rPr>
        <w:t>--------------------------------</w:t>
      </w:r>
      <w:r w:rsidR="00BA3253">
        <w:rPr>
          <w:rFonts w:ascii="Century" w:hAnsi="Century"/>
          <w:lang w:val="es-MX"/>
        </w:rPr>
        <w:t>----------------</w:t>
      </w:r>
      <w:r w:rsidR="00EA167E">
        <w:rPr>
          <w:rFonts w:ascii="Century" w:hAnsi="Century"/>
          <w:lang w:val="es-MX"/>
        </w:rPr>
        <w:t>---------------</w:t>
      </w:r>
      <w:r w:rsidR="00CB5BD0">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CD8CBEA" w:rsidR="00E1257C" w:rsidRPr="00E1257C" w:rsidRDefault="00E1257C" w:rsidP="000917DD">
      <w:pPr>
        <w:pStyle w:val="RESOLUCIONES"/>
      </w:pPr>
      <w:r w:rsidRPr="00E1257C">
        <w:rPr>
          <w:b/>
          <w:iCs/>
        </w:rPr>
        <w:t xml:space="preserve">TERCERO. </w:t>
      </w:r>
      <w:r w:rsidRPr="00E1257C">
        <w:t>La existencia de</w:t>
      </w:r>
      <w:r w:rsidR="00444CB8">
        <w:t xml:space="preserve"> </w:t>
      </w:r>
      <w:r w:rsidRPr="00E1257C">
        <w:t>l</w:t>
      </w:r>
      <w:r w:rsidR="00444CB8">
        <w:t>os</w:t>
      </w:r>
      <w:r w:rsidRPr="00E1257C">
        <w:t xml:space="preserve"> acto</w:t>
      </w:r>
      <w:r w:rsidR="00444CB8">
        <w:t>s</w:t>
      </w:r>
      <w:r w:rsidRPr="00E1257C">
        <w:t xml:space="preserve"> impugnado</w:t>
      </w:r>
      <w:r w:rsidR="00444CB8">
        <w:t>s</w:t>
      </w:r>
      <w:r w:rsidRPr="00E1257C">
        <w:t xml:space="preserve">, se encuentra documentada en autos con </w:t>
      </w:r>
      <w:r w:rsidR="001746EF">
        <w:t xml:space="preserve">los originales de los oficios </w:t>
      </w:r>
      <w:r w:rsidR="001746EF" w:rsidRPr="001746EF">
        <w:t xml:space="preserve">TML/DGI/10512/2015 </w:t>
      </w:r>
      <w:r w:rsidR="00BA4B5F">
        <w:t>(Letra T letra M letra L diagonal letra D letra G letra I</w:t>
      </w:r>
      <w:r w:rsidR="001746EF" w:rsidRPr="001746EF">
        <w:t xml:space="preserve"> diagonal uno cero cinco uno dos diagonal dos mil quince), TML/DGI/10513/2015 </w:t>
      </w:r>
      <w:r w:rsidR="00BA4B5F">
        <w:t>(Letra T letra M letra L diagonal letra D letra G letra I</w:t>
      </w:r>
      <w:r w:rsidR="001746EF" w:rsidRPr="001746EF">
        <w:t xml:space="preserve"> diagonal uno cero cinco uno tres diagonal dos mil quince)</w:t>
      </w:r>
      <w:r w:rsidR="00444CB8">
        <w:t xml:space="preserve"> </w:t>
      </w:r>
      <w:r w:rsidR="001746EF" w:rsidRPr="001746EF">
        <w:t xml:space="preserve">y TML/DGI/10514/2015 </w:t>
      </w:r>
      <w:r w:rsidR="00BA4B5F">
        <w:t>(Letra T letra M letra L diagonal letra D letra G letra I</w:t>
      </w:r>
      <w:r w:rsidR="001746EF" w:rsidRPr="001746EF">
        <w:t xml:space="preserve"> diagonal uno cero cinco uno cuatro diagonal dos mil quince)</w:t>
      </w:r>
      <w:r w:rsidR="001746EF">
        <w:t xml:space="preserve">, emitidos por la Directora de Impuestos Inmobiliarios, documentos que </w:t>
      </w:r>
      <w:r w:rsidRPr="00E1257C">
        <w:t>merece</w:t>
      </w:r>
      <w:r w:rsidR="001746EF">
        <w:t>n</w:t>
      </w:r>
      <w:r w:rsidRPr="00E1257C">
        <w:t xml:space="preserv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w:t>
      </w:r>
      <w:r w:rsidR="001746EF">
        <w:t>la autoridad demandada</w:t>
      </w:r>
      <w:r w:rsidRPr="00E1257C">
        <w:t xml:space="preserve">, al contestar la demanda, en relación a los hechos, aceptó de manera libre y expresa, el haber </w:t>
      </w:r>
      <w:r w:rsidR="001746EF">
        <w:t>emitidos los oficios que constituyen el acto impugnado en el presente proceso administrativo</w:t>
      </w:r>
      <w:r w:rsidRPr="00E1257C">
        <w:t>; lo que, sin duda, constituye una confesión expresa conforme a la interpretación gramatical y funcional que se hace del primer párrafo del artículo 57 del Código de Procedimiento y Justicia Administrativa en vigor en el Estado. ---------------------</w:t>
      </w:r>
      <w:r w:rsidR="00B7426B">
        <w:t>-</w:t>
      </w:r>
      <w:r w:rsidR="00891D17">
        <w:t>--------------------------------------------------</w:t>
      </w:r>
      <w:r w:rsidR="00B7426B">
        <w:t>--</w:t>
      </w:r>
      <w:r w:rsidR="001746EF">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38FA84" w14:textId="033CE091" w:rsidR="00946B3D" w:rsidRDefault="00BA3253" w:rsidP="001D458C">
      <w:pPr>
        <w:pStyle w:val="RESOLUCIONES"/>
      </w:pPr>
      <w:r w:rsidRPr="00E1257C">
        <w:t xml:space="preserve">En ese sentido, </w:t>
      </w:r>
      <w:r>
        <w:t xml:space="preserve">se aprecia que </w:t>
      </w:r>
      <w:r w:rsidRPr="00E1257C">
        <w:t xml:space="preserve">la autoridad demandada </w:t>
      </w:r>
      <w:r w:rsidR="001D458C">
        <w:t xml:space="preserve">no señala ninguna causal de improcedencia, y de oficio, quien resuelve </w:t>
      </w:r>
      <w:r w:rsidR="00946B3D">
        <w:t>considera</w:t>
      </w:r>
      <w:r w:rsidR="00946B3D" w:rsidRPr="00E1257C">
        <w:t xml:space="preserve"> que no se actualiza ninguna de las previstas en el citado artículo 261</w:t>
      </w:r>
      <w:r w:rsidR="005E73D7">
        <w:t>.</w:t>
      </w:r>
      <w:r w:rsidR="00946B3D" w:rsidRPr="00E1257C">
        <w:t xml:space="preserve"> </w:t>
      </w:r>
      <w:r w:rsidR="00946B3D">
        <w:t>--------</w:t>
      </w:r>
      <w:r w:rsidR="005E73D7">
        <w:t>-------------</w:t>
      </w:r>
    </w:p>
    <w:p w14:paraId="7D4784E3" w14:textId="18B9A755" w:rsidR="00FD0FF0" w:rsidRDefault="00FD0FF0" w:rsidP="001D458C">
      <w:pPr>
        <w:pStyle w:val="RESOLUCIONES"/>
      </w:pPr>
    </w:p>
    <w:p w14:paraId="36D1A24A" w14:textId="77777777" w:rsidR="00FD0FF0" w:rsidRDefault="00FD0FF0" w:rsidP="00FD0FF0">
      <w:pPr>
        <w:pStyle w:val="RESOLUCIONES"/>
      </w:pPr>
      <w:r>
        <w:t>C</w:t>
      </w:r>
      <w:r w:rsidRPr="008B1490">
        <w:t>abe señalar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con la finalidad </w:t>
      </w:r>
      <w:r w:rsidRPr="00170A2E">
        <w:t xml:space="preserve">de no incurrir en violaciones procesales, se realizan las siguientes consideraciones respecto a </w:t>
      </w:r>
      <w:r>
        <w:t>las excepciones y defensas hechas valer por las autoridades demandadas. ------------------------------------------</w:t>
      </w:r>
    </w:p>
    <w:p w14:paraId="234BB1C6" w14:textId="77777777" w:rsidR="00FD0FF0" w:rsidRDefault="00FD0FF0" w:rsidP="00FD0FF0">
      <w:pPr>
        <w:pStyle w:val="RESOLUCIONES"/>
      </w:pPr>
    </w:p>
    <w:p w14:paraId="4F488F40" w14:textId="121E2695" w:rsidR="00EE66E7" w:rsidRDefault="00FD0FF0" w:rsidP="00EE66E7">
      <w:pPr>
        <w:pStyle w:val="SENTENCIAS"/>
      </w:pPr>
      <w:r w:rsidRPr="00EE66E7">
        <w:t xml:space="preserve">En primer </w:t>
      </w:r>
      <w:r w:rsidR="00EE66E7" w:rsidRPr="00EE66E7">
        <w:t>término,</w:t>
      </w:r>
      <w:r w:rsidRPr="00EE66E7">
        <w:t xml:space="preserve"> oponen como excepción la que deriva de las fracciones I y VI del artículo 261 del Código de Procedimiento y Justicia Administrativa para el Estado y los Municipios de Guanajuato, sin embargo, la demandada omite realizar razonamientos y exponer el por qué, a su juicio, se actualizan dichas causales. En tal sentido, respecto a la fracción I, que refiere que el juicio de nulidad es improcedente en contra de actos y resoluciones que no afecte </w:t>
      </w:r>
      <w:r w:rsidR="00EE66E7" w:rsidRPr="00EE66E7">
        <w:t xml:space="preserve">el interés jurídico del actor y fracción VI, </w:t>
      </w:r>
      <w:r w:rsidR="00FC0B86">
        <w:t xml:space="preserve">que es improcedente </w:t>
      </w:r>
      <w:r w:rsidR="00EE66E7">
        <w:t>en contra de actos y resoluciones, q</w:t>
      </w:r>
      <w:r w:rsidR="00EE66E7" w:rsidRPr="00EE66E7">
        <w:t xml:space="preserve">ue sean inexistentes, derivada claramente esta circunstancia de las constancias de autos; </w:t>
      </w:r>
      <w:r w:rsidR="00EE66E7">
        <w:t>NO SE AC</w:t>
      </w:r>
      <w:r w:rsidR="00FC0B86">
        <w:t>TUALIZAN</w:t>
      </w:r>
      <w:r w:rsidR="00EE66E7">
        <w:t xml:space="preserve">. </w:t>
      </w:r>
      <w:r w:rsidR="0024072A">
        <w:t>-</w:t>
      </w:r>
      <w:r w:rsidR="00FC0B86">
        <w:t>-------------------------------------------------------------------</w:t>
      </w:r>
      <w:r w:rsidR="0024072A">
        <w:t>-----------------</w:t>
      </w:r>
    </w:p>
    <w:p w14:paraId="7BEF6CCB" w14:textId="26C7C70C" w:rsidR="00EE66E7" w:rsidRDefault="00EE66E7" w:rsidP="00EE66E7">
      <w:pPr>
        <w:pStyle w:val="SENTENCIAS"/>
      </w:pPr>
    </w:p>
    <w:p w14:paraId="592BEB34" w14:textId="3A1A3B7D" w:rsidR="00EE66E7" w:rsidRDefault="00FC0B86" w:rsidP="00EE66E7">
      <w:pPr>
        <w:pStyle w:val="SENTENCIAS"/>
      </w:pPr>
      <w:r>
        <w:t xml:space="preserve">Los </w:t>
      </w:r>
      <w:r w:rsidR="00EE66E7">
        <w:t>actos impugnados fueron debidamente acreditados en el Considerando Tercero de la presente resolución, actos que, al ser dirigid</w:t>
      </w:r>
      <w:r w:rsidR="00891D17">
        <w:t>os al justiciable, le otorgan el derecho</w:t>
      </w:r>
      <w:r w:rsidR="00EE66E7">
        <w:t xml:space="preserve"> para controvertirlos, en tal sentido, no son aplicables las causales de improcedencia invocadas por la demandada. ----</w:t>
      </w:r>
      <w:r w:rsidR="00891D17">
        <w:t>-----</w:t>
      </w:r>
    </w:p>
    <w:p w14:paraId="573F1B8B" w14:textId="77777777" w:rsidR="00EE66E7" w:rsidRPr="00EE66E7" w:rsidRDefault="00EE66E7" w:rsidP="00EE66E7">
      <w:pPr>
        <w:pStyle w:val="SENTENCIAS"/>
      </w:pPr>
    </w:p>
    <w:p w14:paraId="19EE893E" w14:textId="0A718FD1" w:rsidR="00FD0FF0" w:rsidRDefault="00EE66E7" w:rsidP="00891D17">
      <w:pPr>
        <w:pStyle w:val="SENTENCIAS"/>
      </w:pPr>
      <w:r>
        <w:t xml:space="preserve">Lo anterior, se apoya además en la jurisprudencia </w:t>
      </w:r>
      <w:r w:rsidR="00FD0FF0">
        <w:t>por contradicción de tesis número 2a./J. 137/2006 de la Segunda Sala de la Suprema Corte de Justicia de la Nación, publicada en el Semanario Judicial de la Federación y su Gaceta, Novena Ép</w:t>
      </w:r>
      <w:r>
        <w:t>oca, Tomo XXIV, Octubre de 2006</w:t>
      </w:r>
      <w:r w:rsidR="00891D17">
        <w:t>: ----------------------------</w:t>
      </w:r>
    </w:p>
    <w:p w14:paraId="44259E61" w14:textId="77777777" w:rsidR="00FC0B86" w:rsidRDefault="00FC0B86" w:rsidP="00EE66E7">
      <w:pPr>
        <w:pStyle w:val="TESISYJURIS"/>
      </w:pPr>
    </w:p>
    <w:p w14:paraId="6F13E22B" w14:textId="5BF79540" w:rsidR="00FD0FF0" w:rsidRDefault="00FD0FF0" w:rsidP="00EE66E7">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68D872DF" w14:textId="77777777" w:rsidR="00FD0FF0" w:rsidRDefault="00FD0FF0" w:rsidP="00EE66E7">
      <w:pPr>
        <w:pStyle w:val="TESISYJURIS"/>
      </w:pPr>
    </w:p>
    <w:p w14:paraId="65221381" w14:textId="77777777" w:rsidR="00FD0FF0" w:rsidRDefault="00FD0FF0" w:rsidP="00FD0FF0">
      <w:pPr>
        <w:pStyle w:val="RESOLUCIONES"/>
      </w:pPr>
    </w:p>
    <w:p w14:paraId="7B59D6D4" w14:textId="49DFA7C8" w:rsidR="00EE66E7" w:rsidRDefault="00EE66E7" w:rsidP="00EE66E7">
      <w:pPr>
        <w:pStyle w:val="RESOLUCIONES"/>
      </w:pPr>
      <w:r>
        <w:t>De igual manera</w:t>
      </w:r>
      <w:r w:rsidR="00891D17">
        <w:t xml:space="preserve">, la demandada </w:t>
      </w:r>
      <w:r>
        <w:t>hace mención a la excepción Nom Mutati Libeli,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r w:rsidR="00891D17">
        <w:t>-------------------------------------------------------</w:t>
      </w:r>
    </w:p>
    <w:p w14:paraId="3208CF95" w14:textId="77777777" w:rsidR="00EE66E7" w:rsidRDefault="00EE66E7" w:rsidP="00FD0FF0">
      <w:pPr>
        <w:pStyle w:val="RESOLUCIONES"/>
      </w:pPr>
    </w:p>
    <w:p w14:paraId="29EFB7F2" w14:textId="5A53E023" w:rsidR="00FD0FF0" w:rsidRPr="00C57D67" w:rsidRDefault="00EE66E7" w:rsidP="00FD0FF0">
      <w:pPr>
        <w:pStyle w:val="RESOLUCIONES"/>
        <w:rPr>
          <w:i/>
        </w:rPr>
      </w:pPr>
      <w:r>
        <w:t xml:space="preserve">En el mismo sentido opone </w:t>
      </w:r>
      <w:r w:rsidR="00FD0FF0" w:rsidRPr="005C326B">
        <w:rPr>
          <w:i/>
        </w:rPr>
        <w:t>“</w:t>
      </w:r>
      <w:r w:rsidR="00FD0FF0">
        <w:rPr>
          <w:i/>
        </w:rPr>
        <w:t xml:space="preserve">la excepción de que los actos que por esta vía se impugnan cumplen con los requisitos de existencia y validez contemplados por los artículos 137 y 138 del Código de Procedimiento y Justicia Administrativa para el Estado y los Municipios de Guanajuato” </w:t>
      </w:r>
      <w:r w:rsidR="00FD0FF0">
        <w:t xml:space="preserve">dichas manifestaciones se traduce en argumentos tendientes a demostrar la validez del acto impugnado, por tal motivo, será materia de estudio al analizar los conceptos de impugnación hechos valer por la parte actora y determinar en su caso, la </w:t>
      </w:r>
      <w:r w:rsidR="00FD0FF0" w:rsidRPr="009C43A0">
        <w:t>legalidad o ilegalidad de</w:t>
      </w:r>
      <w:r w:rsidR="00FD0FF0">
        <w:t>l acto combatido, atento a que son argumentaciones íntimamente relacionadas con el fondo del negocio. ------------</w:t>
      </w:r>
    </w:p>
    <w:p w14:paraId="6C708F89" w14:textId="77777777" w:rsidR="00FD0FF0" w:rsidRDefault="00FD0FF0" w:rsidP="00FD0FF0">
      <w:pPr>
        <w:pStyle w:val="RESOLUCIONES"/>
      </w:pPr>
    </w:p>
    <w:p w14:paraId="45559AC5" w14:textId="712C743C" w:rsidR="00FD0FF0" w:rsidRDefault="00EE66E7" w:rsidP="00FD0FF0">
      <w:pPr>
        <w:pStyle w:val="RESOLUCIONES"/>
      </w:pPr>
      <w:r>
        <w:t>Opone la excepción de FALTA DE ACCIÓN Y CARENCIA DE DERECHO, y señala que se actualiza ya que el actor no acredita haber pagado o cumplido con sus obligaciones tributarias</w:t>
      </w:r>
      <w:r w:rsidR="00074853">
        <w:t>; excepción</w:t>
      </w:r>
      <w:r>
        <w:t xml:space="preserve"> que no es aplicable, ya que para analizar dicho argumento quien resuelve necesariamente debe entrar al estudio del fondo del presenta asunto. ---------------------------------------------------</w:t>
      </w:r>
    </w:p>
    <w:p w14:paraId="3C82CFD0" w14:textId="77777777" w:rsidR="00EE66E7" w:rsidRDefault="00EE66E7" w:rsidP="00FD0FF0">
      <w:pPr>
        <w:pStyle w:val="RESOLUCIONES"/>
      </w:pPr>
    </w:p>
    <w:p w14:paraId="63AD01B5" w14:textId="324B1D7B" w:rsidR="00EE66E7" w:rsidRPr="009C43A0" w:rsidRDefault="00EE66E7" w:rsidP="00EE66E7">
      <w:pPr>
        <w:pStyle w:val="RESOLUCIONES"/>
      </w:pPr>
      <w:r w:rsidRPr="009C43A0">
        <w:t xml:space="preserve">Ante la improcedencia de las referidas </w:t>
      </w:r>
      <w:r>
        <w:t xml:space="preserve">causales y </w:t>
      </w:r>
      <w:r w:rsidRPr="009C43A0">
        <w:t>excepciones</w:t>
      </w:r>
      <w:r>
        <w:t xml:space="preserve"> manifestadas por la autoridad demandada, esta juzgadora en forma oficiosa no advierte que </w:t>
      </w:r>
      <w:r w:rsidRPr="009C43A0">
        <w:t xml:space="preserve">se </w:t>
      </w:r>
      <w:r>
        <w:t>a</w:t>
      </w:r>
      <w:r w:rsidRPr="009C43A0">
        <w:t>ctuali</w:t>
      </w:r>
      <w:r w:rsidR="00074853">
        <w:t>ce</w:t>
      </w:r>
      <w:r w:rsidRPr="009C43A0">
        <w:t xml:space="preserve"> </w:t>
      </w:r>
      <w:r>
        <w:t xml:space="preserve">alguna </w:t>
      </w:r>
      <w:r w:rsidRPr="009C43A0">
        <w:t xml:space="preserve">causal de improcedencia de las previstas en el citado artículo 261, </w:t>
      </w:r>
      <w:r w:rsidR="00074853">
        <w:t xml:space="preserve">por lo que </w:t>
      </w:r>
      <w:r>
        <w:t>se procede al estudio de los conceptos de impugnación</w:t>
      </w:r>
      <w:r w:rsidR="00074853">
        <w:t>, no sin antes fijar los puntos controvertidos dentro de la presente causa administrativa</w:t>
      </w:r>
      <w:r>
        <w:t>. ----------------------------------------------------------------------------</w:t>
      </w:r>
    </w:p>
    <w:p w14:paraId="462C90C3" w14:textId="77777777" w:rsidR="00946B3D" w:rsidRDefault="00946B3D" w:rsidP="00E1257C">
      <w:pPr>
        <w:spacing w:line="360" w:lineRule="auto"/>
        <w:ind w:firstLine="709"/>
        <w:jc w:val="both"/>
        <w:rPr>
          <w:rFonts w:ascii="Century" w:hAnsi="Century"/>
          <w:b/>
          <w:bCs/>
          <w:iCs/>
        </w:rPr>
      </w:pPr>
    </w:p>
    <w:p w14:paraId="3D260653" w14:textId="77777777" w:rsidR="004E796C" w:rsidRPr="004E796C" w:rsidRDefault="00E1257C" w:rsidP="004E796C">
      <w:pPr>
        <w:spacing w:line="360" w:lineRule="auto"/>
        <w:ind w:firstLine="708"/>
        <w:jc w:val="both"/>
        <w:rPr>
          <w:rFonts w:ascii="Century" w:hAnsi="Century"/>
        </w:rPr>
      </w:pPr>
      <w:r w:rsidRPr="00EF285D">
        <w:rPr>
          <w:rFonts w:ascii="Century" w:hAnsi="Century"/>
          <w:b/>
          <w:bCs/>
          <w:iCs/>
        </w:rPr>
        <w:t>QUINTO.</w:t>
      </w:r>
      <w:r w:rsidRPr="00EF285D">
        <w:rPr>
          <w:rFonts w:ascii="Century" w:hAnsi="Century"/>
        </w:rPr>
        <w:t xml:space="preserve"> </w:t>
      </w:r>
      <w:r w:rsidR="004E796C" w:rsidRPr="00EF285D">
        <w:rPr>
          <w:rFonts w:ascii="Century" w:hAnsi="Century"/>
        </w:rPr>
        <w:t>En cumplimiento a lo establecido en la fracción I del artículo 299 del Código de Procedimiento y Justicia Administrativa para el</w:t>
      </w:r>
      <w:r w:rsidR="004E796C" w:rsidRPr="004E796C">
        <w:rPr>
          <w:rFonts w:ascii="Century" w:hAnsi="Century"/>
        </w:rPr>
        <w:t xml:space="preserve"> Estado y los Municipios de Guanajuato, este Juzgado procede a fijar clara y precisamente los puntos controvertidos en el presente proceso administrativo. </w:t>
      </w:r>
    </w:p>
    <w:p w14:paraId="76CD7058" w14:textId="77777777" w:rsidR="004E796C" w:rsidRPr="004E796C" w:rsidRDefault="004E796C" w:rsidP="004E796C">
      <w:pPr>
        <w:spacing w:line="360" w:lineRule="auto"/>
        <w:ind w:firstLine="708"/>
        <w:jc w:val="both"/>
        <w:rPr>
          <w:rFonts w:ascii="Century" w:hAnsi="Century"/>
        </w:rPr>
      </w:pPr>
    </w:p>
    <w:p w14:paraId="425BEA23" w14:textId="044F9330" w:rsidR="004E796C" w:rsidRPr="004E796C" w:rsidRDefault="004E796C" w:rsidP="004E796C">
      <w:pPr>
        <w:spacing w:line="360" w:lineRule="auto"/>
        <w:ind w:firstLine="708"/>
        <w:jc w:val="both"/>
        <w:rPr>
          <w:rFonts w:ascii="Century" w:hAnsi="Century"/>
        </w:rPr>
      </w:pPr>
      <w:r w:rsidRPr="004E796C">
        <w:rPr>
          <w:rFonts w:ascii="Century" w:hAnsi="Century"/>
        </w:rPr>
        <w:t xml:space="preserve">De lo expuesto por el actor en su escrito de demanda, así como de las constancias que integran la causa administrativa que nos ocupa, se desprende que en fecha </w:t>
      </w:r>
      <w:r w:rsidR="00EF285D">
        <w:rPr>
          <w:rFonts w:ascii="Century" w:hAnsi="Century"/>
        </w:rPr>
        <w:t xml:space="preserve">15 quince de septiembre del año 2015 dos mil quince, le fueron notificados </w:t>
      </w:r>
      <w:r w:rsidR="004B65B6">
        <w:rPr>
          <w:rFonts w:ascii="Century" w:hAnsi="Century"/>
        </w:rPr>
        <w:t xml:space="preserve">a la parte actora, </w:t>
      </w:r>
      <w:r w:rsidR="00A20EB4">
        <w:rPr>
          <w:rFonts w:ascii="Century" w:hAnsi="Century"/>
        </w:rPr>
        <w:t xml:space="preserve">diversos oficios que contiene como asunto </w:t>
      </w:r>
      <w:r w:rsidR="00A20EB4" w:rsidRPr="003513FE">
        <w:rPr>
          <w:rFonts w:ascii="Century" w:hAnsi="Century"/>
          <w:i/>
          <w:sz w:val="22"/>
        </w:rPr>
        <w:t>“determinación y liquidación de crédito fiscal”</w:t>
      </w:r>
      <w:r w:rsidR="00A20EB4">
        <w:rPr>
          <w:rFonts w:ascii="Century" w:hAnsi="Century"/>
        </w:rPr>
        <w:t xml:space="preserve">, sobre traslado de dominio, </w:t>
      </w:r>
      <w:r w:rsidR="004B65B6">
        <w:rPr>
          <w:rFonts w:ascii="Century" w:hAnsi="Century"/>
        </w:rPr>
        <w:t xml:space="preserve">suscritos por la Directora de Impuestos Inmobiliarios, actos que el justiciables, considera como ilegales, </w:t>
      </w:r>
      <w:r w:rsidRPr="004E796C">
        <w:rPr>
          <w:rFonts w:ascii="Century" w:hAnsi="Century"/>
        </w:rPr>
        <w:t>por lo que acude a demandar su nulidad. ----------------</w:t>
      </w:r>
    </w:p>
    <w:p w14:paraId="5B321874" w14:textId="77777777" w:rsidR="004E796C" w:rsidRPr="004E796C" w:rsidRDefault="004E796C" w:rsidP="004E796C">
      <w:pPr>
        <w:spacing w:line="360" w:lineRule="auto"/>
        <w:ind w:firstLine="708"/>
        <w:jc w:val="both"/>
        <w:rPr>
          <w:rFonts w:ascii="Century" w:hAnsi="Century"/>
        </w:rPr>
      </w:pPr>
    </w:p>
    <w:p w14:paraId="09AE0D4E" w14:textId="75CD1698" w:rsidR="008F0A97" w:rsidRDefault="004E796C" w:rsidP="004E796C">
      <w:pPr>
        <w:spacing w:line="360" w:lineRule="auto"/>
        <w:ind w:firstLine="708"/>
        <w:jc w:val="both"/>
        <w:rPr>
          <w:rFonts w:ascii="Century" w:hAnsi="Century"/>
        </w:rPr>
      </w:pPr>
      <w:r w:rsidRPr="004E796C">
        <w:rPr>
          <w:rFonts w:ascii="Century" w:hAnsi="Century"/>
        </w:rPr>
        <w:t xml:space="preserve">Así las cosas, la “litis” planteada se hace consistir en determinar la legalidad o ilegalidad </w:t>
      </w:r>
      <w:r w:rsidR="008F0A97">
        <w:rPr>
          <w:rFonts w:ascii="Century" w:hAnsi="Century"/>
        </w:rPr>
        <w:t xml:space="preserve">de la determinación y liquidación, contenida en los oficios  </w:t>
      </w:r>
      <w:r w:rsidR="008F0A97" w:rsidRPr="008F0A97">
        <w:rPr>
          <w:rFonts w:ascii="Century" w:hAnsi="Century"/>
        </w:rPr>
        <w:t xml:space="preserve">TML/DGI/10512/2015 </w:t>
      </w:r>
      <w:r w:rsidR="00BA4B5F">
        <w:rPr>
          <w:rFonts w:ascii="Century" w:hAnsi="Century"/>
        </w:rPr>
        <w:t>(Letra T letra M letra L diagonal letra D letra G letra I</w:t>
      </w:r>
      <w:r w:rsidR="008F0A97" w:rsidRPr="008F0A97">
        <w:rPr>
          <w:rFonts w:ascii="Century" w:hAnsi="Century"/>
        </w:rPr>
        <w:t xml:space="preserve"> diagonal uno cero cinco uno dos diagonal dos mil quince), TML/DGI/10513/2015 </w:t>
      </w:r>
      <w:r w:rsidR="00BA4B5F">
        <w:rPr>
          <w:rFonts w:ascii="Century" w:hAnsi="Century"/>
        </w:rPr>
        <w:t>(Letra T letra M letra L diagonal letra D letra G letra I</w:t>
      </w:r>
      <w:r w:rsidR="008F0A97" w:rsidRPr="008F0A97">
        <w:rPr>
          <w:rFonts w:ascii="Century" w:hAnsi="Century"/>
        </w:rPr>
        <w:t xml:space="preserve"> diagonal uno cero cinco uno tres diagonal dos mil quince)</w:t>
      </w:r>
      <w:r w:rsidR="00074853">
        <w:rPr>
          <w:rFonts w:ascii="Century" w:hAnsi="Century"/>
        </w:rPr>
        <w:t xml:space="preserve"> </w:t>
      </w:r>
      <w:r w:rsidR="008F0A97" w:rsidRPr="008F0A97">
        <w:rPr>
          <w:rFonts w:ascii="Century" w:hAnsi="Century"/>
        </w:rPr>
        <w:t xml:space="preserve">y TML/DGI/10514/2015 </w:t>
      </w:r>
      <w:r w:rsidR="00BA4B5F">
        <w:rPr>
          <w:rFonts w:ascii="Century" w:hAnsi="Century"/>
        </w:rPr>
        <w:t>(Letra T letra M letra L diagonal letra D letra G letra I</w:t>
      </w:r>
      <w:r w:rsidR="008F0A97" w:rsidRPr="008F0A97">
        <w:rPr>
          <w:rFonts w:ascii="Century" w:hAnsi="Century"/>
        </w:rPr>
        <w:t xml:space="preserve"> diagonal uno cero cinco uno cuatro diagonal dos mil quince)</w:t>
      </w:r>
      <w:r w:rsidR="008F0A97">
        <w:rPr>
          <w:rFonts w:ascii="Century" w:hAnsi="Century"/>
        </w:rPr>
        <w:t>, emitidos por la Directora de Impuestos Inmobiliarios del Municipio de León, Guanajuato. -----</w:t>
      </w:r>
    </w:p>
    <w:p w14:paraId="0EE1E7AF" w14:textId="77777777" w:rsidR="008F0A97" w:rsidRDefault="008F0A97" w:rsidP="004E796C">
      <w:pPr>
        <w:spacing w:line="360" w:lineRule="auto"/>
        <w:ind w:firstLine="708"/>
        <w:jc w:val="both"/>
        <w:rPr>
          <w:rFonts w:ascii="Century" w:hAnsi="Century"/>
        </w:rPr>
      </w:pPr>
    </w:p>
    <w:p w14:paraId="7F526A69" w14:textId="5B7744A7" w:rsidR="008B5015" w:rsidRDefault="008B5015" w:rsidP="008B5015">
      <w:pPr>
        <w:pStyle w:val="SENTENCIAS"/>
      </w:pPr>
      <w:r w:rsidRPr="00BB2917">
        <w:rPr>
          <w:b/>
        </w:rPr>
        <w:t>SEXTO.</w:t>
      </w:r>
      <w:r w:rsidR="00BB2917">
        <w:t xml:space="preserve"> </w:t>
      </w:r>
      <w:r w:rsidRPr="008B5015">
        <w:t xml:space="preserve">No se transcribirán los conceptos de impugnación expuestos por el impetrante en su escrito de demanda, ni los argumentos esgrimidos por las autoridades encausadas tendentes a controvertir la eficacia de aquéllos. </w:t>
      </w:r>
      <w:r w:rsidR="00BB2917">
        <w:t>-------</w:t>
      </w:r>
    </w:p>
    <w:p w14:paraId="09919509" w14:textId="77777777" w:rsidR="00BB2917" w:rsidRPr="008B5015" w:rsidRDefault="00BB2917" w:rsidP="008B5015">
      <w:pPr>
        <w:pStyle w:val="SENTENCIAS"/>
      </w:pPr>
    </w:p>
    <w:p w14:paraId="3337FA25" w14:textId="6A4715F1" w:rsidR="008B5015" w:rsidRDefault="008B5015" w:rsidP="008B5015">
      <w:pPr>
        <w:pStyle w:val="SENTENCIAS"/>
        <w:rPr>
          <w:lang w:val="es-MX" w:eastAsia="en-US"/>
        </w:rPr>
      </w:pPr>
      <w:r w:rsidRPr="008B5015">
        <w:rPr>
          <w:lang w:val="es-MX" w:eastAsia="en-US"/>
        </w:rPr>
        <w:t xml:space="preserve">Lo anterior de conformidad con la jurisprudencia por contradicción de tesis número 2a./J. 58/2010, sustentada por la Segunda Sala de la Suprema Corte de Justicia de la Nación, publicada en el Semanario Judicial de la Federación y su Gaceta correspondiente a la Novena Época, tomo XXXI, de mayo de 2010 dos mil diez, consultable a página 830, que es del tenor literal siguiente: </w:t>
      </w:r>
      <w:r w:rsidR="00074853">
        <w:rPr>
          <w:lang w:val="es-MX" w:eastAsia="en-US"/>
        </w:rPr>
        <w:t>---------------------------------------------------------------------------------------------</w:t>
      </w:r>
    </w:p>
    <w:p w14:paraId="651A6967" w14:textId="77777777" w:rsidR="00AA6B20" w:rsidRPr="008B5015" w:rsidRDefault="00AA6B20" w:rsidP="008B5015">
      <w:pPr>
        <w:pStyle w:val="SENTENCIAS"/>
        <w:rPr>
          <w:lang w:val="es-MX" w:eastAsia="en-US"/>
        </w:rPr>
      </w:pPr>
    </w:p>
    <w:p w14:paraId="784A2241" w14:textId="27972BEA" w:rsidR="008B5015" w:rsidRPr="003513FE" w:rsidRDefault="008B5015" w:rsidP="00AA6B20">
      <w:pPr>
        <w:pStyle w:val="TESISYJURIS"/>
        <w:rPr>
          <w:rFonts w:cstheme="minorBidi"/>
          <w:sz w:val="22"/>
          <w:lang w:val="es-MX" w:eastAsia="en-US"/>
        </w:rPr>
      </w:pPr>
      <w:r w:rsidRPr="003513FE">
        <w:rPr>
          <w:sz w:val="22"/>
          <w:lang w:val="es-MX" w:eastAsia="en-US"/>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w:t>
      </w:r>
      <w:r w:rsidRPr="003513FE">
        <w:rPr>
          <w:rFonts w:cstheme="minorBidi"/>
          <w:sz w:val="22"/>
          <w:lang w:val="es-MX" w:eastAsia="en-US"/>
        </w:rPr>
        <w:t xml:space="preserve">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45C6C8C" w14:textId="77777777" w:rsidR="008B5015" w:rsidRPr="003513FE" w:rsidRDefault="008B5015" w:rsidP="008B5015">
      <w:pPr>
        <w:autoSpaceDE w:val="0"/>
        <w:autoSpaceDN w:val="0"/>
        <w:adjustRightInd w:val="0"/>
        <w:rPr>
          <w:rFonts w:ascii="Garamond" w:eastAsiaTheme="minorHAnsi" w:hAnsi="Garamond" w:cs="Garamond"/>
          <w:b/>
          <w:bCs/>
          <w:szCs w:val="28"/>
          <w:lang w:val="es-MX" w:eastAsia="en-US"/>
        </w:rPr>
      </w:pPr>
    </w:p>
    <w:p w14:paraId="50955C44" w14:textId="77777777" w:rsidR="008B5015" w:rsidRPr="003513FE" w:rsidRDefault="008B5015" w:rsidP="008B5015">
      <w:pPr>
        <w:autoSpaceDE w:val="0"/>
        <w:autoSpaceDN w:val="0"/>
        <w:adjustRightInd w:val="0"/>
        <w:rPr>
          <w:rFonts w:ascii="Garamond" w:eastAsiaTheme="minorHAnsi" w:hAnsi="Garamond" w:cs="Garamond"/>
          <w:b/>
          <w:bCs/>
          <w:szCs w:val="28"/>
          <w:lang w:val="es-MX" w:eastAsia="en-US"/>
        </w:rPr>
      </w:pPr>
    </w:p>
    <w:p w14:paraId="54E7764A" w14:textId="25C94720" w:rsidR="00A27C26" w:rsidRDefault="004B27AF" w:rsidP="00A27C26">
      <w:pPr>
        <w:pStyle w:val="RESOLUCIONES"/>
      </w:pPr>
      <w:r w:rsidRPr="003513FE">
        <w:t>En tal sentido</w:t>
      </w:r>
      <w:r w:rsidR="00A27C26" w:rsidRPr="003513FE">
        <w:t>,</w:t>
      </w:r>
      <w:r w:rsidRPr="003513FE">
        <w:t xml:space="preserve"> quien resuelve, una vez analizados los conceptos de impugnación, señala como FUNDADO, el QUINTO</w:t>
      </w:r>
      <w:r w:rsidR="00A27C26" w:rsidRPr="003513FE">
        <w:t>,</w:t>
      </w:r>
      <w:r w:rsidRPr="003513FE">
        <w:t xml:space="preserve"> lo anterior, atendiendo</w:t>
      </w:r>
      <w:r w:rsidRPr="004B27AF">
        <w:t xml:space="preserve"> además a</w:t>
      </w:r>
      <w:r w:rsidR="000B7F3E" w:rsidRPr="004B27AF">
        <w:t xml:space="preserve"> lo </w:t>
      </w:r>
      <w:r w:rsidR="00074853">
        <w:t>dispuesto</w:t>
      </w:r>
      <w:r w:rsidR="000B7F3E" w:rsidRPr="004B27AF">
        <w:t xml:space="preserve"> por el artículo 302, último párrafo, del Código de Procedimiento y Justicia Administrativa para el Estado y los Municipios de Guanajuato, </w:t>
      </w:r>
      <w:r w:rsidR="00A27C26">
        <w:t>que señala:</w:t>
      </w:r>
      <w:r w:rsidR="00074853">
        <w:t xml:space="preserve"> -------------------------------------------------------------------------</w:t>
      </w:r>
    </w:p>
    <w:p w14:paraId="449B9B1A" w14:textId="77777777" w:rsidR="00A27C26" w:rsidRDefault="00A27C26" w:rsidP="00A27C26">
      <w:pPr>
        <w:pStyle w:val="RESOLUCIONES"/>
      </w:pPr>
    </w:p>
    <w:p w14:paraId="158B60AE" w14:textId="6B80BB3A" w:rsidR="00A27C26" w:rsidRPr="00B10044" w:rsidRDefault="00A27C26" w:rsidP="00A27C26">
      <w:pPr>
        <w:pStyle w:val="TESISYJURIS"/>
        <w:rPr>
          <w:lang w:val="es-MX"/>
        </w:rPr>
      </w:pPr>
      <w:r w:rsidRPr="00B10044">
        <w:rPr>
          <w:b/>
        </w:rPr>
        <w:t>Artículo 302.</w:t>
      </w:r>
      <w:r w:rsidRPr="00B10044">
        <w:t xml:space="preserve"> Se declarará que un acto o resolución es nulo, cuando se demuestre alguna de las siguientes causales:</w:t>
      </w:r>
    </w:p>
    <w:p w14:paraId="1F08BB98" w14:textId="77777777" w:rsidR="00A27C26" w:rsidRPr="00B10044" w:rsidRDefault="00A27C26" w:rsidP="00A27C26">
      <w:pPr>
        <w:pStyle w:val="TESISYJURIS"/>
      </w:pPr>
    </w:p>
    <w:p w14:paraId="2D117B87" w14:textId="7EA97E82" w:rsidR="00A27C26" w:rsidRPr="00B10044" w:rsidRDefault="00A27C26" w:rsidP="00E82E69">
      <w:pPr>
        <w:pStyle w:val="TESISYJURIS"/>
        <w:numPr>
          <w:ilvl w:val="0"/>
          <w:numId w:val="46"/>
        </w:numPr>
      </w:pPr>
      <w:r w:rsidRPr="00B10044">
        <w:t>Incompetencia del servidor público que lo haya dictado, ordenado o tramitado el procedimiento del que deriva;</w:t>
      </w:r>
    </w:p>
    <w:p w14:paraId="4E79BFBE" w14:textId="77777777" w:rsidR="00A27C26" w:rsidRDefault="00A27C26" w:rsidP="004B27AF">
      <w:pPr>
        <w:pStyle w:val="RESOLUCIONES"/>
      </w:pPr>
    </w:p>
    <w:p w14:paraId="7A58D8E3" w14:textId="77777777" w:rsidR="00A27C26" w:rsidRDefault="00A27C26" w:rsidP="004B27AF">
      <w:pPr>
        <w:pStyle w:val="RESOLUCIONES"/>
      </w:pPr>
    </w:p>
    <w:p w14:paraId="1F0E45C9" w14:textId="1D1EEAA8" w:rsidR="00A27C26" w:rsidRPr="00956A29" w:rsidRDefault="00A27C26" w:rsidP="004B27AF">
      <w:pPr>
        <w:pStyle w:val="RESOLUCIONES"/>
        <w:rPr>
          <w:i/>
          <w:sz w:val="22"/>
        </w:rPr>
      </w:pPr>
      <w:r>
        <w:t xml:space="preserve">Así las cosas, en el QUINTO concepto de impugnación la parte actora argumenta: </w:t>
      </w:r>
      <w:r w:rsidRPr="00956A29">
        <w:rPr>
          <w:i/>
          <w:sz w:val="22"/>
        </w:rPr>
        <w:t>“Las determinaciones que se impugnan vulneran en mi perjuicio mis derechos humanos de legalidad y seguridad jurídica […]</w:t>
      </w:r>
    </w:p>
    <w:p w14:paraId="461CFEC1" w14:textId="719AC930" w:rsidR="00A27C26" w:rsidRPr="00956A29" w:rsidRDefault="00A27C26" w:rsidP="004B27AF">
      <w:pPr>
        <w:pStyle w:val="RESOLUCIONES"/>
        <w:rPr>
          <w:i/>
          <w:sz w:val="22"/>
        </w:rPr>
      </w:pPr>
      <w:r w:rsidRPr="00956A29">
        <w:rPr>
          <w:i/>
          <w:sz w:val="22"/>
        </w:rPr>
        <w:t xml:space="preserve">En el presente caso, las resoluciones que se impugnan son emitidas sin la debida fundamentación y motivación </w:t>
      </w:r>
      <w:r w:rsidR="001673CE" w:rsidRPr="00956A29">
        <w:rPr>
          <w:i/>
          <w:sz w:val="22"/>
        </w:rPr>
        <w:t>en relación a la competencia de la autoridad demandada, pues de la simple lectura que se realice de las resoluciones que se combaten se advierte que los preceptos que señala como fundamento de su actuación, no contemplan la facultad de la demandada para determinar y liquida</w:t>
      </w:r>
      <w:r w:rsidR="00074853">
        <w:rPr>
          <w:i/>
          <w:sz w:val="22"/>
        </w:rPr>
        <w:t>r</w:t>
      </w:r>
      <w:r w:rsidR="001673CE" w:rsidRPr="00956A29">
        <w:rPr>
          <w:i/>
          <w:sz w:val="22"/>
        </w:rPr>
        <w:t xml:space="preserve"> el impuesto sobre traslado de dominio […]</w:t>
      </w:r>
    </w:p>
    <w:p w14:paraId="4ED022FF" w14:textId="17DE6D55" w:rsidR="001673CE" w:rsidRPr="00956A29" w:rsidRDefault="001673CE" w:rsidP="004B27AF">
      <w:pPr>
        <w:pStyle w:val="RESOLUCIONES"/>
        <w:rPr>
          <w:i/>
          <w:sz w:val="22"/>
        </w:rPr>
      </w:pPr>
      <w:r w:rsidRPr="00956A29">
        <w:rPr>
          <w:i/>
          <w:sz w:val="22"/>
        </w:rPr>
        <w:t xml:space="preserve">Lo anterior, coloca a la suscrita en completo estado de indefensión e inseguridad jurídica pues por una parte al inicio de las resoluciones combatidas señala que quien está determinando el crédito impugnado lo es la Tesorería Municipal y por otra parte quien suscribe las determinaciones combatidas es […] de la lectura de los preceptos legales que cita como fundamento </w:t>
      </w:r>
      <w:r w:rsidR="00956A29" w:rsidRPr="00956A29">
        <w:rPr>
          <w:i/>
          <w:sz w:val="22"/>
        </w:rPr>
        <w:t>de su competencia no se advierte de los mismos emanen facultades para la emisión de los actos administrativos como los que ahora se impugnan […]”</w:t>
      </w:r>
    </w:p>
    <w:p w14:paraId="4B150502" w14:textId="07DDCCA1" w:rsidR="00956A29" w:rsidRDefault="00956A29" w:rsidP="004B27AF">
      <w:pPr>
        <w:pStyle w:val="RESOLUCIONES"/>
      </w:pPr>
    </w:p>
    <w:p w14:paraId="62FFFA87" w14:textId="710B7E06" w:rsidR="00956A29" w:rsidRDefault="00956A29" w:rsidP="004B27AF">
      <w:pPr>
        <w:pStyle w:val="RESOLUCIONES"/>
      </w:pPr>
      <w:r>
        <w:t>Por su parte, la autoridad demandada considera inoperante el concepto de impugnación y sostiene su competencia para emitir los actos impugnados. -</w:t>
      </w:r>
    </w:p>
    <w:p w14:paraId="41450C0B" w14:textId="5D206A2F" w:rsidR="00A27C26" w:rsidRDefault="00A27C26" w:rsidP="004B27AF">
      <w:pPr>
        <w:pStyle w:val="RESOLUCIONES"/>
      </w:pPr>
    </w:p>
    <w:p w14:paraId="0BC57254" w14:textId="03A21415" w:rsidR="00956A29" w:rsidRDefault="00956A29" w:rsidP="00E82E69">
      <w:pPr>
        <w:pStyle w:val="SENTENCIAS"/>
      </w:pPr>
      <w:r>
        <w:t xml:space="preserve">Bajo tal contexto, y como quedó precisado anteriormente, al ser la competencia una </w:t>
      </w:r>
      <w:r w:rsidR="000B7F3E" w:rsidRPr="002304C8">
        <w:t>cuestión de orden público</w:t>
      </w:r>
      <w:r>
        <w:t xml:space="preserve">, </w:t>
      </w:r>
      <w:r w:rsidR="00834176">
        <w:t>por lo que, q</w:t>
      </w:r>
      <w:r>
        <w:t xml:space="preserve">uien juzga debe </w:t>
      </w:r>
      <w:r w:rsidR="00834176">
        <w:t xml:space="preserve">realizar su </w:t>
      </w:r>
      <w:r>
        <w:t>estudio de manera oficiosa</w:t>
      </w:r>
      <w:r w:rsidR="00834176">
        <w:t>. -----------------------------------------------------</w:t>
      </w:r>
    </w:p>
    <w:p w14:paraId="5C406AC2" w14:textId="77777777" w:rsidR="00956A29" w:rsidRDefault="00956A29" w:rsidP="00956A29">
      <w:pPr>
        <w:pStyle w:val="RESOLUCIONES"/>
        <w:rPr>
          <w:rFonts w:ascii="Arial Narrow" w:hAnsi="Arial Narrow"/>
          <w:sz w:val="27"/>
          <w:szCs w:val="27"/>
        </w:rPr>
      </w:pPr>
    </w:p>
    <w:p w14:paraId="1FB8DF43" w14:textId="29F946B1" w:rsidR="00956A29" w:rsidRDefault="00956A29" w:rsidP="00956A29">
      <w:pPr>
        <w:pStyle w:val="SENTENCIAS"/>
      </w:pPr>
      <w:r w:rsidRPr="00956A29">
        <w:t xml:space="preserve">Como parte de las formalidades esenciales de los actos de molestia se exige que la autoridad administrativa mencionen el carácter con el que emiten sus actos y cite los ordenamientos legales, acuerdos o decretos que les otorguen tal legitimación, pues de lo contrario se dejaría al gobernado en estado de indefensión, ya que al no conocer el apoyo que faculta a la autoridad para emitir el acto, ni el carácter con que lo emita, es evidente que no se le otorga la oportunidad de examinar si la actuación de ésta se encuentra o no dentro del ámbito </w:t>
      </w:r>
      <w:r w:rsidR="00066D67">
        <w:t xml:space="preserve">de su </w:t>
      </w:r>
      <w:r w:rsidRPr="00956A29">
        <w:t>competencia, y si éste es o no conforme a la ley o a la Constitución, para que, en su caso, esté en aptitud de alegar, además de la ilegalidad del acto, la del apoyo en que se funde la autoridad para emitirlo en el carácter con que lo haga, pues bien puede acontecer que su actuación no se adecue exactamente a la norma, acuerdo o decreto que invoque, o que éstos se hallen en contradicción con la ley secundaria o con la Ley Fundament</w:t>
      </w:r>
      <w:r>
        <w:t>al. ---</w:t>
      </w:r>
      <w:r w:rsidR="00066D67">
        <w:t>--------</w:t>
      </w:r>
      <w:r>
        <w:t>----</w:t>
      </w:r>
    </w:p>
    <w:p w14:paraId="5B19C752" w14:textId="0D09A98F" w:rsidR="00074853" w:rsidRDefault="00074853" w:rsidP="00956A29">
      <w:pPr>
        <w:pStyle w:val="SENTENCIAS"/>
      </w:pPr>
    </w:p>
    <w:p w14:paraId="52F0D9E1" w14:textId="436F606A" w:rsidR="00956A29" w:rsidRPr="00A43ECC" w:rsidRDefault="00A43ECC" w:rsidP="00A43ECC">
      <w:pPr>
        <w:pStyle w:val="SENTENCIAS"/>
      </w:pPr>
      <w:r w:rsidRPr="00A43ECC">
        <w:t xml:space="preserve">Lo anterior se apoya en el siguiente criterio emitido por la </w:t>
      </w:r>
      <w:r w:rsidR="00956A29" w:rsidRPr="00A43ECC">
        <w:t>Segunda Sala de la Suprema Corte de Justicia de la Nación,</w:t>
      </w:r>
      <w:r w:rsidRPr="00A43ECC">
        <w:t xml:space="preserve"> visible en el</w:t>
      </w:r>
      <w:r w:rsidR="00956A29" w:rsidRPr="00A43ECC">
        <w:t xml:space="preserve"> “Semanario Judicial de la Federación y su Gaceta”, México, Novena Época, t. XXII</w:t>
      </w:r>
      <w:r w:rsidR="00074853">
        <w:t>: ---------------------</w:t>
      </w:r>
    </w:p>
    <w:p w14:paraId="0494562C" w14:textId="77777777" w:rsidR="00A43ECC" w:rsidRPr="00A43ECC" w:rsidRDefault="00A43ECC" w:rsidP="00A43ECC">
      <w:pPr>
        <w:pStyle w:val="SENTENCIAS"/>
      </w:pPr>
    </w:p>
    <w:p w14:paraId="50AA49A5" w14:textId="271CBF36" w:rsidR="00956A29" w:rsidRDefault="00956A29" w:rsidP="00A43ECC">
      <w:pPr>
        <w:pStyle w:val="TESISYJURIS"/>
        <w:rPr>
          <w:rFonts w:cstheme="minorBidi"/>
        </w:rPr>
      </w:pPr>
      <w: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w:t>
      </w:r>
      <w:r>
        <w:rPr>
          <w:rFonts w:cstheme="minorBidi"/>
        </w:rPr>
        <w:t xml:space="preserve">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w:t>
      </w:r>
    </w:p>
    <w:p w14:paraId="7F85E75F" w14:textId="77777777" w:rsidR="00066D67" w:rsidRDefault="00066D67" w:rsidP="00E82E69">
      <w:pPr>
        <w:pStyle w:val="RESOLUCIONES"/>
      </w:pPr>
    </w:p>
    <w:p w14:paraId="6B065645" w14:textId="77777777" w:rsidR="00066D67" w:rsidRDefault="00066D67" w:rsidP="00E82E69">
      <w:pPr>
        <w:pStyle w:val="RESOLUCIONES"/>
      </w:pPr>
    </w:p>
    <w:p w14:paraId="56DF82B6" w14:textId="60ED9632" w:rsidR="004B658C" w:rsidRDefault="00074853" w:rsidP="00E82E69">
      <w:pPr>
        <w:pStyle w:val="RESOLUCIONES"/>
      </w:pPr>
      <w:r>
        <w:t>Luego entonces</w:t>
      </w:r>
      <w:r w:rsidR="00C03515" w:rsidRPr="00E82E69">
        <w:t xml:space="preserve">, </w:t>
      </w:r>
      <w:r w:rsidR="00E82E69">
        <w:t xml:space="preserve">de los actos impugnados </w:t>
      </w:r>
      <w:r w:rsidR="004B658C">
        <w:t>en el capítulo de ANTECEDENTES, de manera similar en los tres actos impugnados se desp</w:t>
      </w:r>
      <w:r>
        <w:t>r</w:t>
      </w:r>
      <w:r w:rsidR="004B658C">
        <w:t>ende lo siguiente:</w:t>
      </w:r>
      <w:r w:rsidR="005F7B98">
        <w:t xml:space="preserve"> ---------------------------------------------------------------------------</w:t>
      </w:r>
    </w:p>
    <w:p w14:paraId="60AAA3E9" w14:textId="77777777" w:rsidR="004B658C" w:rsidRDefault="004B658C" w:rsidP="00E82E69">
      <w:pPr>
        <w:pStyle w:val="RESOLUCIONES"/>
      </w:pPr>
    </w:p>
    <w:p w14:paraId="720EBD53" w14:textId="093B9172" w:rsidR="00EF41D6" w:rsidRPr="001D1668" w:rsidRDefault="004B658C" w:rsidP="00E82E69">
      <w:pPr>
        <w:pStyle w:val="RESOLUCIONES"/>
        <w:rPr>
          <w:i/>
        </w:rPr>
      </w:pPr>
      <w:r w:rsidRPr="001D1668">
        <w:rPr>
          <w:i/>
        </w:rPr>
        <w:t xml:space="preserve">PRIMERO. Por sucesión testamentaria </w:t>
      </w:r>
      <w:r w:rsidR="00EF41D6" w:rsidRPr="001D1668">
        <w:rPr>
          <w:i/>
        </w:rPr>
        <w:t xml:space="preserve">a bienes del </w:t>
      </w:r>
      <w:r w:rsidR="005A2A9A" w:rsidRPr="001D1668">
        <w:rPr>
          <w:i/>
        </w:rPr>
        <w:t>señor</w:t>
      </w:r>
      <w:r w:rsidR="00EF41D6" w:rsidRPr="001D1668">
        <w:rPr>
          <w:i/>
        </w:rPr>
        <w:t xml:space="preserve"> </w:t>
      </w:r>
      <w:bookmarkStart w:id="0" w:name="_GoBack"/>
      <w:r w:rsidR="003A6BA9">
        <w:rPr>
          <w:i/>
        </w:rPr>
        <w:t>(.....)</w:t>
      </w:r>
      <w:bookmarkEnd w:id="0"/>
      <w:r w:rsidR="00EF41D6" w:rsidRPr="001D1668">
        <w:rPr>
          <w:i/>
        </w:rPr>
        <w:t xml:space="preserve">, protocolizada en escritura pública número 2,900 de fecha 05 cinco del mes de febrero del año 1993 mil novecientos noventa y tres, tirada ante la fe del Licenciado </w:t>
      </w:r>
      <w:r w:rsidR="00CC6D58">
        <w:rPr>
          <w:i/>
        </w:rPr>
        <w:t>(.....)</w:t>
      </w:r>
      <w:r w:rsidR="00EF41D6" w:rsidRPr="001D1668">
        <w:rPr>
          <w:i/>
        </w:rPr>
        <w:t xml:space="preserve">, Notario Público número 81 en ejercicio en éste Partido Judicial, fue adquirido por […]  y los C.C […]  todos ellos de apellidos </w:t>
      </w:r>
      <w:r w:rsidR="00CC6D58">
        <w:rPr>
          <w:i/>
        </w:rPr>
        <w:t>(.....)</w:t>
      </w:r>
      <w:r w:rsidR="00EF41D6" w:rsidRPr="001D1668">
        <w:rPr>
          <w:i/>
        </w:rPr>
        <w:t xml:space="preserve"> el inmueble ubicado en Potrero de los Coyotes, de esta ciudad de León, Guanajuato con una superficie […] </w:t>
      </w:r>
    </w:p>
    <w:p w14:paraId="152E159C" w14:textId="7FBA49B3" w:rsidR="005A2A9A" w:rsidRPr="001D1668" w:rsidRDefault="00EF41D6" w:rsidP="00807B73">
      <w:pPr>
        <w:pStyle w:val="RESOLUCIONES"/>
        <w:rPr>
          <w:i/>
        </w:rPr>
      </w:pPr>
      <w:r w:rsidRPr="001D1668">
        <w:rPr>
          <w:i/>
        </w:rPr>
        <w:t xml:space="preserve">SEGUNDO.  </w:t>
      </w:r>
      <w:r w:rsidR="005A2A9A" w:rsidRPr="001D1668">
        <w:rPr>
          <w:i/>
        </w:rPr>
        <w:t xml:space="preserve">Que de conformidad a las </w:t>
      </w:r>
      <w:r w:rsidR="00807B73" w:rsidRPr="001D1668">
        <w:rPr>
          <w:i/>
        </w:rPr>
        <w:t>Cláusulas</w:t>
      </w:r>
      <w:r w:rsidR="005A2A9A" w:rsidRPr="001D1668">
        <w:rPr>
          <w:i/>
        </w:rPr>
        <w:t xml:space="preserve"> Primera y Segunda de la escritura pública número 2,900 del </w:t>
      </w:r>
      <w:r w:rsidR="00807B73" w:rsidRPr="001D1668">
        <w:rPr>
          <w:i/>
        </w:rPr>
        <w:t>Licenciado</w:t>
      </w:r>
      <w:r w:rsidR="005A2A9A" w:rsidRPr="001D1668">
        <w:rPr>
          <w:i/>
        </w:rPr>
        <w:t xml:space="preserve"> […] respecto a la sucesión señalada en el punto inmediato anterior, la C. […]  adquirió </w:t>
      </w:r>
      <w:r w:rsidR="00807B73" w:rsidRPr="001D1668">
        <w:rPr>
          <w:i/>
        </w:rPr>
        <w:t xml:space="preserve">el Usufructo Vitalicio del inmueble marcado con la cuenta predial […] ubicado en Potrero de los Coyotes […] y los C.C. […] todos de apellidos </w:t>
      </w:r>
      <w:r w:rsidR="00CC6D58">
        <w:rPr>
          <w:i/>
        </w:rPr>
        <w:t>(.....)</w:t>
      </w:r>
      <w:r w:rsidR="00807B73" w:rsidRPr="001D1668">
        <w:rPr>
          <w:i/>
        </w:rPr>
        <w:t xml:space="preserve"> la nuda propiedad en mancomún proindiviso y partes iguales sobre el inmueble en comento.</w:t>
      </w:r>
    </w:p>
    <w:p w14:paraId="3B67C44C" w14:textId="2AA5BA25" w:rsidR="00807B73" w:rsidRPr="001D1668" w:rsidRDefault="00807B73" w:rsidP="00807B73">
      <w:pPr>
        <w:pStyle w:val="RESOLUCIONES"/>
        <w:rPr>
          <w:i/>
        </w:rPr>
      </w:pPr>
      <w:r w:rsidRPr="001D1668">
        <w:rPr>
          <w:i/>
        </w:rPr>
        <w:t xml:space="preserve">TERCERO. Ante la fe del Licenciado […] se otorgo la escritura pública número 12,434 de fecha 15 quince de diciembre del año 2005 dos mil cinco, a través de la cual se hizo constar un contrato de Fideicomiso a través del cual los C.C. todos ellos de apellidos </w:t>
      </w:r>
      <w:r w:rsidR="00CC6D58">
        <w:rPr>
          <w:i/>
        </w:rPr>
        <w:t>(.....)</w:t>
      </w:r>
      <w:r w:rsidRPr="001D1668">
        <w:rPr>
          <w:i/>
        </w:rPr>
        <w:t xml:space="preserve"> se constituyeron como Fideicomitentes y Fideicomisarios “A”, la C. […] viuda de Muñoz como Fideicomisaria “A”; Las Lomas de Gran Jardín, S.A de C.V. como Fideicomitente y Fideicomisario “B”; y Banco Mercantil del Norte Sociedad Anónima, Institución de Banca Múltiple, Grupo Financiero Banorte en su calidad de “Fiduciario”.</w:t>
      </w:r>
    </w:p>
    <w:p w14:paraId="04C16C57" w14:textId="499CEECA" w:rsidR="00807B73" w:rsidRPr="001D1668" w:rsidRDefault="00807B73" w:rsidP="008517F4">
      <w:pPr>
        <w:pStyle w:val="RESOLUCIONES"/>
        <w:rPr>
          <w:i/>
        </w:rPr>
      </w:pPr>
      <w:r w:rsidRPr="001D1668">
        <w:rPr>
          <w:i/>
        </w:rPr>
        <w:t xml:space="preserve">CUARTO. Mediante escritura pública número 26,999 </w:t>
      </w:r>
      <w:r w:rsidR="001D1668">
        <w:rPr>
          <w:i/>
        </w:rPr>
        <w:t>de fecha 1</w:t>
      </w:r>
      <w:r w:rsidRPr="001D1668">
        <w:rPr>
          <w:i/>
        </w:rPr>
        <w:t xml:space="preserve">2 </w:t>
      </w:r>
      <w:r w:rsidR="001D1668">
        <w:rPr>
          <w:i/>
        </w:rPr>
        <w:t xml:space="preserve">doce del mes de noviembre del año 2012 dos mil doce tirada ante la fe del </w:t>
      </w:r>
      <w:r w:rsidRPr="001D1668">
        <w:rPr>
          <w:i/>
        </w:rPr>
        <w:t xml:space="preserve">Notario Público </w:t>
      </w:r>
      <w:r w:rsidR="001D1668" w:rsidRPr="001D1668">
        <w:rPr>
          <w:i/>
        </w:rPr>
        <w:t>número</w:t>
      </w:r>
      <w:r w:rsidRPr="001D1668">
        <w:rPr>
          <w:i/>
        </w:rPr>
        <w:t xml:space="preserve"> 19 en ejercicio de éste Partido Judicial, se llevó a cabo, entre otros actos, la </w:t>
      </w:r>
      <w:r w:rsidR="001D1668" w:rsidRPr="001D1668">
        <w:rPr>
          <w:i/>
        </w:rPr>
        <w:t>Protocolización del permiso de relotificació</w:t>
      </w:r>
      <w:r w:rsidRPr="001D1668">
        <w:rPr>
          <w:i/>
        </w:rPr>
        <w:t xml:space="preserve">n de la sección […] respecto al inmueble que </w:t>
      </w:r>
      <w:r w:rsidR="001D1668" w:rsidRPr="001D1668">
        <w:rPr>
          <w:i/>
        </w:rPr>
        <w:t>adquirieron</w:t>
      </w:r>
      <w:r w:rsidRPr="001D1668">
        <w:rPr>
          <w:i/>
        </w:rPr>
        <w:t xml:space="preserve"> en mancomún proindiviso y partes iguales, mismo que estaba </w:t>
      </w:r>
      <w:r w:rsidR="001D1668" w:rsidRPr="001D1668">
        <w:rPr>
          <w:i/>
        </w:rPr>
        <w:t>tributando</w:t>
      </w:r>
      <w:r w:rsidRPr="001D1668">
        <w:rPr>
          <w:i/>
        </w:rPr>
        <w:t xml:space="preserve"> en la cuenta predial […], de acuerdo a lo señalado en lso puntos primero y segundo</w:t>
      </w:r>
      <w:r w:rsidR="001D1668" w:rsidRPr="001D1668">
        <w:rPr>
          <w:i/>
        </w:rPr>
        <w:t xml:space="preserve"> del presente apartado, aperturá</w:t>
      </w:r>
      <w:r w:rsidRPr="001D1668">
        <w:rPr>
          <w:i/>
        </w:rPr>
        <w:t xml:space="preserve">ndose, entre otras, la cuenta predial […] </w:t>
      </w:r>
      <w:r w:rsidR="001D1668" w:rsidRPr="001D1668">
        <w:rPr>
          <w:i/>
        </w:rPr>
        <w:t>para el lote de terre</w:t>
      </w:r>
      <w:r w:rsidR="008517F4" w:rsidRPr="001D1668">
        <w:rPr>
          <w:i/>
        </w:rPr>
        <w:t>n</w:t>
      </w:r>
      <w:r w:rsidR="001D1668" w:rsidRPr="001D1668">
        <w:rPr>
          <w:i/>
        </w:rPr>
        <w:t>o</w:t>
      </w:r>
      <w:r w:rsidR="008517F4" w:rsidRPr="001D1668">
        <w:rPr>
          <w:i/>
        </w:rPr>
        <w:t xml:space="preserve"> materia de la presente liquidación, en el cual persistía la </w:t>
      </w:r>
      <w:r w:rsidR="001D1668" w:rsidRPr="001D1668">
        <w:rPr>
          <w:i/>
        </w:rPr>
        <w:t>copropiedad</w:t>
      </w:r>
      <w:r w:rsidR="008517F4" w:rsidRPr="001D1668">
        <w:rPr>
          <w:i/>
        </w:rPr>
        <w:t xml:space="preserve"> que se </w:t>
      </w:r>
      <w:r w:rsidR="001D1668" w:rsidRPr="001D1668">
        <w:rPr>
          <w:i/>
        </w:rPr>
        <w:t>originó</w:t>
      </w:r>
      <w:r w:rsidR="008517F4" w:rsidRPr="001D1668">
        <w:rPr>
          <w:i/>
        </w:rPr>
        <w:t xml:space="preserve"> con motivo de la sucesión </w:t>
      </w:r>
      <w:r w:rsidR="001D1668" w:rsidRPr="001D1668">
        <w:rPr>
          <w:i/>
        </w:rPr>
        <w:t>testamentaria</w:t>
      </w:r>
      <w:r w:rsidR="008517F4" w:rsidRPr="001D1668">
        <w:rPr>
          <w:i/>
        </w:rPr>
        <w:t xml:space="preserve"> […]</w:t>
      </w:r>
    </w:p>
    <w:p w14:paraId="2BD423FE" w14:textId="45021BB0" w:rsidR="008517F4" w:rsidRPr="001D1668" w:rsidRDefault="008517F4" w:rsidP="00E82E69">
      <w:pPr>
        <w:pStyle w:val="RESOLUCIONES"/>
        <w:rPr>
          <w:i/>
        </w:rPr>
      </w:pPr>
      <w:r w:rsidRPr="001D1668">
        <w:rPr>
          <w:i/>
        </w:rPr>
        <w:t xml:space="preserve">QUINTO. Fue presentado a ésta autoridad fiscal el aviso de traslado de dominio a través del cual se dio a conocer el Convenio de </w:t>
      </w:r>
      <w:r w:rsidR="001D1668" w:rsidRPr="001D1668">
        <w:rPr>
          <w:i/>
        </w:rPr>
        <w:t>Reversión</w:t>
      </w:r>
      <w:r w:rsidRPr="001D1668">
        <w:rPr>
          <w:i/>
        </w:rPr>
        <w:t xml:space="preserve"> P</w:t>
      </w:r>
      <w:r w:rsidR="001D1668" w:rsidRPr="001D1668">
        <w:rPr>
          <w:i/>
        </w:rPr>
        <w:t xml:space="preserve">arcial </w:t>
      </w:r>
      <w:r w:rsidRPr="001D1668">
        <w:rPr>
          <w:i/>
        </w:rPr>
        <w:t xml:space="preserve">de Propiedad y </w:t>
      </w:r>
      <w:r w:rsidR="001D1668" w:rsidRPr="001D1668">
        <w:rPr>
          <w:i/>
        </w:rPr>
        <w:t>Extinción</w:t>
      </w:r>
      <w:r w:rsidRPr="001D1668">
        <w:rPr>
          <w:i/>
        </w:rPr>
        <w:t xml:space="preserve"> Parcial de Fideicomiso mediante escritura </w:t>
      </w:r>
      <w:r w:rsidR="001D1668" w:rsidRPr="001D1668">
        <w:rPr>
          <w:i/>
        </w:rPr>
        <w:t>pública</w:t>
      </w:r>
      <w:r w:rsidRPr="001D1668">
        <w:rPr>
          <w:i/>
        </w:rPr>
        <w:t xml:space="preserve"> </w:t>
      </w:r>
      <w:r w:rsidR="001D1668" w:rsidRPr="001D1668">
        <w:rPr>
          <w:i/>
        </w:rPr>
        <w:t>número</w:t>
      </w:r>
      <w:r w:rsidRPr="001D1668">
        <w:rPr>
          <w:i/>
        </w:rPr>
        <w:t xml:space="preserve"> 27,817 de fecha 06 seis de agosto del 210 dos mil trece, misma que forma parte del protocolo a cargo del </w:t>
      </w:r>
      <w:r w:rsidR="001D1668" w:rsidRPr="001D1668">
        <w:rPr>
          <w:i/>
        </w:rPr>
        <w:t>licenciado</w:t>
      </w:r>
      <w:r w:rsidRPr="001D1668">
        <w:rPr>
          <w:i/>
        </w:rPr>
        <w:t xml:space="preserve"> […]  celebrada entre Banco Mercantil del Norte S.A. I DE BM., BF Banorte, División Fiduciaria, en su carácter de “Fiduciaria”, y como adquiriente la C. Nélida Cecilia </w:t>
      </w:r>
      <w:r w:rsidR="00CC6D58">
        <w:rPr>
          <w:i/>
        </w:rPr>
        <w:t>(.....)</w:t>
      </w:r>
      <w:r w:rsidRPr="001D1668">
        <w:rPr>
          <w:i/>
        </w:rPr>
        <w:t>, quien entre otros, ostenta el carácter de Fideicomitente “A” dentro del Fideicomiso protocolizado en escritura pública número 12,434 de fecha 15 quince de diciembre del año 2005 dos mil cinco. ----</w:t>
      </w:r>
      <w:r w:rsidR="001D1668" w:rsidRPr="001D1668">
        <w:rPr>
          <w:i/>
        </w:rPr>
        <w:t>------------------------------</w:t>
      </w:r>
      <w:r w:rsidRPr="001D1668">
        <w:rPr>
          <w:i/>
        </w:rPr>
        <w:t>------</w:t>
      </w:r>
    </w:p>
    <w:p w14:paraId="34022C15" w14:textId="57FDCFC4" w:rsidR="008517F4" w:rsidRDefault="008517F4" w:rsidP="00E82E69">
      <w:pPr>
        <w:pStyle w:val="RESOLUCIONES"/>
      </w:pPr>
    </w:p>
    <w:p w14:paraId="3F187D47" w14:textId="77777777" w:rsidR="00066D67" w:rsidRDefault="00066D67" w:rsidP="00E82E69">
      <w:pPr>
        <w:pStyle w:val="RESOLUCIONES"/>
      </w:pPr>
    </w:p>
    <w:p w14:paraId="37A73482" w14:textId="57609DFA" w:rsidR="00FD12FC" w:rsidRDefault="00FD12FC" w:rsidP="00FD12FC">
      <w:pPr>
        <w:pStyle w:val="SENTENCIAS"/>
      </w:pPr>
      <w:r>
        <w:t>En tal sentido</w:t>
      </w:r>
      <w:r w:rsidR="00066D67">
        <w:t>,</w:t>
      </w:r>
      <w:r>
        <w:t xml:space="preserve"> la demandada considera que al no revertirse el inmueble materia de dicha operación a favor de los mismos fideicomitentes, ya </w:t>
      </w:r>
      <w:r w:rsidR="00066D67">
        <w:t xml:space="preserve">que el referido </w:t>
      </w:r>
      <w:r>
        <w:t xml:space="preserve">inmueble estaba mancomún proindiviso y partes iguales, a favor de Los C.C. </w:t>
      </w:r>
      <w:r w:rsidRPr="00FD12FC">
        <w:t>[…]</w:t>
      </w:r>
      <w:r>
        <w:t xml:space="preserve">, todos de apellidos </w:t>
      </w:r>
      <w:r w:rsidR="00CC6D58">
        <w:t>(.....)</w:t>
      </w:r>
      <w:r>
        <w:t xml:space="preserve"> </w:t>
      </w:r>
      <w:r w:rsidRPr="00FD12FC">
        <w:t xml:space="preserve">[…] </w:t>
      </w:r>
      <w:r>
        <w:t xml:space="preserve"> es el hecho de que transmitir únicamente a favor de la C. </w:t>
      </w:r>
      <w:r w:rsidR="00CC6D58">
        <w:t>(.....)</w:t>
      </w:r>
      <w:r>
        <w:t xml:space="preserve">, actora del presente juicio de nulidad, actualiza el supuesto previsto en el artículo 179 de la Ley de Hacienda para los Municipios del Estado de Guanajuato, que </w:t>
      </w:r>
      <w:r w:rsidR="005F7B98">
        <w:t>dispone</w:t>
      </w:r>
      <w:r>
        <w:t xml:space="preserve">: </w:t>
      </w:r>
      <w:r w:rsidR="005F7B98">
        <w:t>-----------------------------------------------------------------------</w:t>
      </w:r>
      <w:r>
        <w:t xml:space="preserve"> </w:t>
      </w:r>
    </w:p>
    <w:p w14:paraId="1B1E0EEE" w14:textId="729F2092" w:rsidR="00FD12FC" w:rsidRDefault="00FD12FC" w:rsidP="00FD12FC">
      <w:pPr>
        <w:ind w:firstLine="709"/>
        <w:jc w:val="both"/>
      </w:pPr>
    </w:p>
    <w:p w14:paraId="5DB18643" w14:textId="77777777" w:rsidR="003513FE" w:rsidRDefault="003513FE" w:rsidP="00FD12FC">
      <w:pPr>
        <w:ind w:firstLine="709"/>
        <w:jc w:val="both"/>
      </w:pPr>
    </w:p>
    <w:p w14:paraId="3EE88EB2" w14:textId="7EABAD23" w:rsidR="00FD12FC" w:rsidRPr="008C4912" w:rsidRDefault="00FD12FC" w:rsidP="00FD12FC">
      <w:pPr>
        <w:pStyle w:val="TESISYJURIS"/>
        <w:rPr>
          <w:lang w:val="es-MX"/>
        </w:rPr>
      </w:pPr>
      <w:r w:rsidRPr="008C4912">
        <w:rPr>
          <w:b/>
        </w:rPr>
        <w:t>Artículo</w:t>
      </w:r>
      <w:r w:rsidRPr="008C4912">
        <w:t xml:space="preserve"> </w:t>
      </w:r>
      <w:r w:rsidRPr="008C4912">
        <w:rPr>
          <w:b/>
        </w:rPr>
        <w:t>179.</w:t>
      </w:r>
      <w:r w:rsidRPr="008C4912">
        <w:t xml:space="preserve"> </w:t>
      </w:r>
      <w:r w:rsidRPr="008C4912">
        <w:rPr>
          <w:lang w:val="es-MX"/>
        </w:rPr>
        <w:t>Están obligadas al pago del impuesto sobre adquisición de bienes inmuebles, las personas físicas o morales que adquieran por cualquier título o causa, bienes inmuebles ubicados en el Estado, así como los derechos reales vinculados a los mismos.</w:t>
      </w:r>
    </w:p>
    <w:p w14:paraId="3B975CC4" w14:textId="6BE90521" w:rsidR="00FD12FC" w:rsidRDefault="00FD12FC" w:rsidP="00E82E69">
      <w:pPr>
        <w:pStyle w:val="RESOLUCIONES"/>
        <w:rPr>
          <w:lang w:val="es-MX"/>
        </w:rPr>
      </w:pPr>
    </w:p>
    <w:p w14:paraId="6576B6E7" w14:textId="77777777" w:rsidR="00066D67" w:rsidRPr="00FD12FC" w:rsidRDefault="00066D67" w:rsidP="00E82E69">
      <w:pPr>
        <w:pStyle w:val="RESOLUCIONES"/>
        <w:rPr>
          <w:lang w:val="es-MX"/>
        </w:rPr>
      </w:pPr>
    </w:p>
    <w:p w14:paraId="05E16496" w14:textId="4DD76A0F" w:rsidR="00FD12FC" w:rsidRDefault="00FD12FC" w:rsidP="00E82E69">
      <w:pPr>
        <w:pStyle w:val="RESOLUCIONES"/>
        <w:rPr>
          <w:lang w:val="es-MX"/>
        </w:rPr>
      </w:pPr>
      <w:r>
        <w:rPr>
          <w:lang w:val="es-MX"/>
        </w:rPr>
        <w:t xml:space="preserve">Ahora bien, </w:t>
      </w:r>
      <w:r w:rsidR="00066D67">
        <w:rPr>
          <w:lang w:val="es-MX"/>
        </w:rPr>
        <w:t>en lo</w:t>
      </w:r>
      <w:r w:rsidR="005F7B98">
        <w:rPr>
          <w:lang w:val="es-MX"/>
        </w:rPr>
        <w:t>s</w:t>
      </w:r>
      <w:r w:rsidR="00066D67">
        <w:rPr>
          <w:lang w:val="es-MX"/>
        </w:rPr>
        <w:t xml:space="preserve"> oficios impugnados, </w:t>
      </w:r>
      <w:r>
        <w:rPr>
          <w:lang w:val="es-MX"/>
        </w:rPr>
        <w:t xml:space="preserve">la demandada </w:t>
      </w:r>
      <w:r w:rsidR="005F7B98">
        <w:rPr>
          <w:lang w:val="es-MX"/>
        </w:rPr>
        <w:t>argument</w:t>
      </w:r>
      <w:r>
        <w:rPr>
          <w:lang w:val="es-MX"/>
        </w:rPr>
        <w:t>a que</w:t>
      </w:r>
      <w:r w:rsidR="00066D67">
        <w:rPr>
          <w:lang w:val="es-MX"/>
        </w:rPr>
        <w:t>,</w:t>
      </w:r>
      <w:r>
        <w:rPr>
          <w:lang w:val="es-MX"/>
        </w:rPr>
        <w:t xml:space="preserve"> como se omitió el pago del impuesto de traslado de dominio, que se generó de la presentación del aviso de traslado de dominio respecto de la escritura pública </w:t>
      </w:r>
      <w:r w:rsidR="00380775">
        <w:rPr>
          <w:lang w:val="es-MX"/>
        </w:rPr>
        <w:t>número</w:t>
      </w:r>
      <w:r>
        <w:rPr>
          <w:lang w:val="es-MX"/>
        </w:rPr>
        <w:t xml:space="preserve"> 27817</w:t>
      </w:r>
      <w:r w:rsidR="00380775">
        <w:rPr>
          <w:lang w:val="es-MX"/>
        </w:rPr>
        <w:t xml:space="preserve"> (veintisiete mil ochocientos diecisiete)</w:t>
      </w:r>
      <w:r>
        <w:rPr>
          <w:lang w:val="es-MX"/>
        </w:rPr>
        <w:t>, de fecha 06</w:t>
      </w:r>
      <w:r w:rsidR="00380775">
        <w:rPr>
          <w:lang w:val="es-MX"/>
        </w:rPr>
        <w:t xml:space="preserve"> </w:t>
      </w:r>
      <w:r>
        <w:rPr>
          <w:lang w:val="es-MX"/>
        </w:rPr>
        <w:t>seis de agosto del año 2013</w:t>
      </w:r>
      <w:r w:rsidR="00380775">
        <w:rPr>
          <w:lang w:val="es-MX"/>
        </w:rPr>
        <w:t xml:space="preserve"> (dos mil trece)</w:t>
      </w:r>
      <w:r>
        <w:rPr>
          <w:lang w:val="es-MX"/>
        </w:rPr>
        <w:t xml:space="preserve">, se </w:t>
      </w:r>
      <w:r w:rsidR="005F7B98">
        <w:rPr>
          <w:lang w:val="es-MX"/>
        </w:rPr>
        <w:t xml:space="preserve">le </w:t>
      </w:r>
      <w:r>
        <w:rPr>
          <w:lang w:val="es-MX"/>
        </w:rPr>
        <w:t>requiere del pago de dicho crédito</w:t>
      </w:r>
      <w:r w:rsidR="005F7B98">
        <w:rPr>
          <w:lang w:val="es-MX"/>
        </w:rPr>
        <w:t xml:space="preserve">; </w:t>
      </w:r>
      <w:r>
        <w:rPr>
          <w:lang w:val="es-MX"/>
        </w:rPr>
        <w:t>en tal sentido se aprecia que</w:t>
      </w:r>
      <w:r w:rsidR="005F7B98">
        <w:rPr>
          <w:lang w:val="es-MX"/>
        </w:rPr>
        <w:t>,</w:t>
      </w:r>
      <w:r>
        <w:rPr>
          <w:lang w:val="es-MX"/>
        </w:rPr>
        <w:t xml:space="preserve"> además</w:t>
      </w:r>
      <w:r w:rsidR="005F7B98">
        <w:rPr>
          <w:lang w:val="es-MX"/>
        </w:rPr>
        <w:t>,</w:t>
      </w:r>
      <w:r>
        <w:rPr>
          <w:lang w:val="es-MX"/>
        </w:rPr>
        <w:t xml:space="preserve"> se le determinan recargos y multas por traslado de </w:t>
      </w:r>
      <w:r w:rsidR="00380775">
        <w:rPr>
          <w:lang w:val="es-MX"/>
        </w:rPr>
        <w:t>dominio</w:t>
      </w:r>
      <w:r>
        <w:rPr>
          <w:lang w:val="es-MX"/>
        </w:rPr>
        <w:t xml:space="preserve"> de acuerdo </w:t>
      </w:r>
      <w:r w:rsidR="005F7B98">
        <w:rPr>
          <w:lang w:val="es-MX"/>
        </w:rPr>
        <w:t>con</w:t>
      </w:r>
      <w:r>
        <w:rPr>
          <w:lang w:val="es-MX"/>
        </w:rPr>
        <w:t xml:space="preserve"> lo siguiente:</w:t>
      </w:r>
      <w:r w:rsidR="005F7B98">
        <w:rPr>
          <w:lang w:val="es-MX"/>
        </w:rPr>
        <w:t xml:space="preserve"> ----------------------------------------</w:t>
      </w:r>
    </w:p>
    <w:p w14:paraId="358AD485" w14:textId="77777777" w:rsidR="00FD12FC" w:rsidRDefault="00FD12FC" w:rsidP="00E82E69">
      <w:pPr>
        <w:pStyle w:val="RESOLUCIONES"/>
        <w:rPr>
          <w:lang w:val="es-MX"/>
        </w:rPr>
      </w:pPr>
    </w:p>
    <w:tbl>
      <w:tblPr>
        <w:tblStyle w:val="Tablaconcuadrcula"/>
        <w:tblW w:w="0" w:type="auto"/>
        <w:tblLook w:val="04A0" w:firstRow="1" w:lastRow="0" w:firstColumn="1" w:lastColumn="0" w:noHBand="0" w:noVBand="1"/>
      </w:tblPr>
      <w:tblGrid>
        <w:gridCol w:w="2032"/>
        <w:gridCol w:w="1649"/>
        <w:gridCol w:w="1417"/>
        <w:gridCol w:w="1276"/>
        <w:gridCol w:w="1135"/>
        <w:gridCol w:w="1094"/>
      </w:tblGrid>
      <w:tr w:rsidR="00C03515" w:rsidRPr="00C03515" w14:paraId="6BA0F80A" w14:textId="2D484140" w:rsidTr="00C03515">
        <w:tc>
          <w:tcPr>
            <w:tcW w:w="2032" w:type="dxa"/>
          </w:tcPr>
          <w:p w14:paraId="2EBC37F1" w14:textId="77777777" w:rsidR="00380775" w:rsidRDefault="00380775" w:rsidP="00C03515">
            <w:pPr>
              <w:pStyle w:val="SENTENCIAS"/>
              <w:ind w:firstLine="0"/>
              <w:rPr>
                <w:sz w:val="16"/>
                <w:szCs w:val="16"/>
              </w:rPr>
            </w:pPr>
          </w:p>
          <w:p w14:paraId="75830407" w14:textId="7A08629E" w:rsidR="00C03515" w:rsidRPr="00C03515" w:rsidRDefault="00C03515" w:rsidP="00C03515">
            <w:pPr>
              <w:pStyle w:val="SENTENCIAS"/>
              <w:ind w:firstLine="0"/>
              <w:rPr>
                <w:sz w:val="16"/>
                <w:szCs w:val="16"/>
              </w:rPr>
            </w:pPr>
            <w:r w:rsidRPr="00C03515">
              <w:rPr>
                <w:sz w:val="16"/>
                <w:szCs w:val="16"/>
              </w:rPr>
              <w:t>Número de Oficio</w:t>
            </w:r>
          </w:p>
        </w:tc>
        <w:tc>
          <w:tcPr>
            <w:tcW w:w="1649" w:type="dxa"/>
          </w:tcPr>
          <w:p w14:paraId="0DB9BC38" w14:textId="77777777" w:rsidR="00380775" w:rsidRDefault="00380775" w:rsidP="00C03515">
            <w:pPr>
              <w:pStyle w:val="SENTENCIAS"/>
              <w:ind w:firstLine="0"/>
              <w:rPr>
                <w:sz w:val="16"/>
                <w:szCs w:val="16"/>
              </w:rPr>
            </w:pPr>
          </w:p>
          <w:p w14:paraId="3E3E6C4A" w14:textId="55FAB334" w:rsidR="00C03515" w:rsidRPr="00C03515" w:rsidRDefault="00C03515" w:rsidP="00C03515">
            <w:pPr>
              <w:pStyle w:val="SENTENCIAS"/>
              <w:ind w:firstLine="0"/>
              <w:rPr>
                <w:sz w:val="16"/>
                <w:szCs w:val="16"/>
              </w:rPr>
            </w:pPr>
            <w:r w:rsidRPr="00C03515">
              <w:rPr>
                <w:sz w:val="16"/>
                <w:szCs w:val="16"/>
              </w:rPr>
              <w:t>Cuenta Predial</w:t>
            </w:r>
          </w:p>
        </w:tc>
        <w:tc>
          <w:tcPr>
            <w:tcW w:w="1417" w:type="dxa"/>
          </w:tcPr>
          <w:p w14:paraId="7BCD3483" w14:textId="46317FE5" w:rsidR="00C03515" w:rsidRPr="00C03515" w:rsidRDefault="00C03515" w:rsidP="00C03515">
            <w:pPr>
              <w:pStyle w:val="SENTENCIAS"/>
              <w:ind w:firstLine="0"/>
              <w:rPr>
                <w:sz w:val="16"/>
                <w:szCs w:val="16"/>
              </w:rPr>
            </w:pPr>
            <w:r w:rsidRPr="00C03515">
              <w:rPr>
                <w:sz w:val="16"/>
                <w:szCs w:val="16"/>
              </w:rPr>
              <w:t>Impuesto Traslación de dominio</w:t>
            </w:r>
          </w:p>
        </w:tc>
        <w:tc>
          <w:tcPr>
            <w:tcW w:w="1276" w:type="dxa"/>
          </w:tcPr>
          <w:p w14:paraId="0A64796F" w14:textId="69C5006B" w:rsidR="00C03515" w:rsidRPr="00C03515" w:rsidRDefault="00C03515" w:rsidP="00C03515">
            <w:pPr>
              <w:pStyle w:val="SENTENCIAS"/>
              <w:ind w:firstLine="0"/>
              <w:rPr>
                <w:sz w:val="16"/>
                <w:szCs w:val="16"/>
              </w:rPr>
            </w:pPr>
            <w:r w:rsidRPr="00C03515">
              <w:rPr>
                <w:sz w:val="16"/>
                <w:szCs w:val="16"/>
              </w:rPr>
              <w:t>Recargos Traslación de dominio</w:t>
            </w:r>
          </w:p>
        </w:tc>
        <w:tc>
          <w:tcPr>
            <w:tcW w:w="1135" w:type="dxa"/>
          </w:tcPr>
          <w:p w14:paraId="4B9343E8" w14:textId="62623A2F" w:rsidR="00C03515" w:rsidRPr="00C03515" w:rsidRDefault="00C03515" w:rsidP="00C03515">
            <w:pPr>
              <w:pStyle w:val="SENTENCIAS"/>
              <w:ind w:firstLine="0"/>
              <w:rPr>
                <w:sz w:val="16"/>
                <w:szCs w:val="16"/>
              </w:rPr>
            </w:pPr>
            <w:r w:rsidRPr="00C03515">
              <w:rPr>
                <w:sz w:val="16"/>
                <w:szCs w:val="16"/>
              </w:rPr>
              <w:t>Multas Traslación de dominio</w:t>
            </w:r>
          </w:p>
        </w:tc>
        <w:tc>
          <w:tcPr>
            <w:tcW w:w="1094" w:type="dxa"/>
          </w:tcPr>
          <w:p w14:paraId="13F8A177" w14:textId="77777777" w:rsidR="00C03515" w:rsidRPr="00C03515" w:rsidRDefault="00C03515" w:rsidP="00C03515">
            <w:pPr>
              <w:pStyle w:val="SENTENCIAS"/>
              <w:ind w:firstLine="0"/>
              <w:rPr>
                <w:sz w:val="16"/>
                <w:szCs w:val="16"/>
              </w:rPr>
            </w:pPr>
          </w:p>
          <w:p w14:paraId="47FBFD3B" w14:textId="7588963D" w:rsidR="00C03515" w:rsidRPr="00C03515" w:rsidRDefault="00C03515" w:rsidP="00C03515">
            <w:pPr>
              <w:pStyle w:val="SENTENCIAS"/>
              <w:ind w:firstLine="0"/>
              <w:rPr>
                <w:sz w:val="16"/>
                <w:szCs w:val="16"/>
              </w:rPr>
            </w:pPr>
            <w:r w:rsidRPr="00C03515">
              <w:rPr>
                <w:sz w:val="16"/>
                <w:szCs w:val="16"/>
              </w:rPr>
              <w:t>Total</w:t>
            </w:r>
          </w:p>
        </w:tc>
      </w:tr>
      <w:tr w:rsidR="00C03515" w:rsidRPr="00C03515" w14:paraId="499945AA" w14:textId="292E9721" w:rsidTr="00C03515">
        <w:tc>
          <w:tcPr>
            <w:tcW w:w="2032" w:type="dxa"/>
          </w:tcPr>
          <w:p w14:paraId="195892E4" w14:textId="3CB7C56A" w:rsidR="00C03515" w:rsidRPr="00C03515" w:rsidRDefault="00C03515" w:rsidP="00C03515">
            <w:pPr>
              <w:pStyle w:val="SENTENCIAS"/>
              <w:ind w:firstLine="0"/>
              <w:rPr>
                <w:sz w:val="16"/>
                <w:szCs w:val="16"/>
              </w:rPr>
            </w:pPr>
            <w:r w:rsidRPr="00C03515">
              <w:rPr>
                <w:sz w:val="16"/>
                <w:szCs w:val="16"/>
              </w:rPr>
              <w:t>TML/DGI/10512/2015</w:t>
            </w:r>
          </w:p>
        </w:tc>
        <w:tc>
          <w:tcPr>
            <w:tcW w:w="1649" w:type="dxa"/>
          </w:tcPr>
          <w:p w14:paraId="76080706" w14:textId="17576088" w:rsidR="00C03515" w:rsidRPr="00C03515" w:rsidRDefault="00C03515" w:rsidP="00C03515">
            <w:pPr>
              <w:pStyle w:val="SENTENCIAS"/>
              <w:ind w:firstLine="0"/>
              <w:rPr>
                <w:sz w:val="16"/>
                <w:szCs w:val="16"/>
              </w:rPr>
            </w:pPr>
            <w:r w:rsidRPr="00C03515">
              <w:rPr>
                <w:sz w:val="16"/>
                <w:szCs w:val="16"/>
              </w:rPr>
              <w:t>01BC01173-001</w:t>
            </w:r>
          </w:p>
        </w:tc>
        <w:tc>
          <w:tcPr>
            <w:tcW w:w="1417" w:type="dxa"/>
          </w:tcPr>
          <w:p w14:paraId="2D0254FC" w14:textId="616E255E" w:rsidR="00C03515" w:rsidRPr="00C03515" w:rsidRDefault="00C03515" w:rsidP="00380775">
            <w:pPr>
              <w:pStyle w:val="SENTENCIAS"/>
              <w:ind w:firstLine="0"/>
              <w:jc w:val="right"/>
              <w:rPr>
                <w:sz w:val="16"/>
                <w:szCs w:val="16"/>
              </w:rPr>
            </w:pPr>
            <w:r w:rsidRPr="00C03515">
              <w:rPr>
                <w:sz w:val="16"/>
                <w:szCs w:val="16"/>
              </w:rPr>
              <w:t>$2,279.83</w:t>
            </w:r>
          </w:p>
        </w:tc>
        <w:tc>
          <w:tcPr>
            <w:tcW w:w="1276" w:type="dxa"/>
          </w:tcPr>
          <w:p w14:paraId="4D831F4A" w14:textId="4F662CDF" w:rsidR="00C03515" w:rsidRPr="00C03515" w:rsidRDefault="00C03515" w:rsidP="00380775">
            <w:pPr>
              <w:pStyle w:val="SENTENCIAS"/>
              <w:ind w:firstLine="0"/>
              <w:jc w:val="right"/>
              <w:rPr>
                <w:sz w:val="16"/>
                <w:szCs w:val="16"/>
              </w:rPr>
            </w:pPr>
            <w:r w:rsidRPr="00C03515">
              <w:rPr>
                <w:sz w:val="16"/>
                <w:szCs w:val="16"/>
              </w:rPr>
              <w:t>$644.03</w:t>
            </w:r>
          </w:p>
        </w:tc>
        <w:tc>
          <w:tcPr>
            <w:tcW w:w="1135" w:type="dxa"/>
          </w:tcPr>
          <w:p w14:paraId="3A542842" w14:textId="5C6522BE" w:rsidR="00C03515" w:rsidRPr="00C03515" w:rsidRDefault="00C03515" w:rsidP="00380775">
            <w:pPr>
              <w:pStyle w:val="SENTENCIAS"/>
              <w:ind w:firstLine="0"/>
              <w:jc w:val="right"/>
              <w:rPr>
                <w:sz w:val="16"/>
                <w:szCs w:val="16"/>
              </w:rPr>
            </w:pPr>
            <w:r w:rsidRPr="00C03515">
              <w:rPr>
                <w:sz w:val="16"/>
                <w:szCs w:val="16"/>
              </w:rPr>
              <w:t>$341.40</w:t>
            </w:r>
          </w:p>
        </w:tc>
        <w:tc>
          <w:tcPr>
            <w:tcW w:w="1094" w:type="dxa"/>
          </w:tcPr>
          <w:p w14:paraId="7B688688" w14:textId="3A99E635" w:rsidR="00C03515" w:rsidRPr="00C03515" w:rsidRDefault="00C03515" w:rsidP="00380775">
            <w:pPr>
              <w:pStyle w:val="SENTENCIAS"/>
              <w:ind w:firstLine="0"/>
              <w:jc w:val="right"/>
              <w:rPr>
                <w:sz w:val="16"/>
                <w:szCs w:val="16"/>
              </w:rPr>
            </w:pPr>
            <w:r w:rsidRPr="00C03515">
              <w:rPr>
                <w:sz w:val="16"/>
                <w:szCs w:val="16"/>
              </w:rPr>
              <w:t>$3,265.26</w:t>
            </w:r>
          </w:p>
        </w:tc>
      </w:tr>
      <w:tr w:rsidR="00C03515" w:rsidRPr="00C03515" w14:paraId="3FF02959" w14:textId="73FDFC6D" w:rsidTr="00C03515">
        <w:tc>
          <w:tcPr>
            <w:tcW w:w="2032" w:type="dxa"/>
          </w:tcPr>
          <w:p w14:paraId="181274DC" w14:textId="5A0C52D9" w:rsidR="00C03515" w:rsidRPr="00C03515" w:rsidRDefault="00C03515" w:rsidP="00C03515">
            <w:pPr>
              <w:pStyle w:val="SENTENCIAS"/>
              <w:ind w:firstLine="0"/>
              <w:rPr>
                <w:sz w:val="16"/>
                <w:szCs w:val="16"/>
              </w:rPr>
            </w:pPr>
            <w:r w:rsidRPr="00C03515">
              <w:rPr>
                <w:sz w:val="16"/>
                <w:szCs w:val="16"/>
              </w:rPr>
              <w:t>TML/DGI/10513/2015</w:t>
            </w:r>
          </w:p>
        </w:tc>
        <w:tc>
          <w:tcPr>
            <w:tcW w:w="1649" w:type="dxa"/>
          </w:tcPr>
          <w:p w14:paraId="1719D731" w14:textId="4632352E" w:rsidR="00C03515" w:rsidRPr="00C03515" w:rsidRDefault="00C03515" w:rsidP="00C03515">
            <w:pPr>
              <w:pStyle w:val="SENTENCIAS"/>
              <w:ind w:firstLine="0"/>
              <w:rPr>
                <w:sz w:val="16"/>
                <w:szCs w:val="16"/>
              </w:rPr>
            </w:pPr>
            <w:r>
              <w:rPr>
                <w:sz w:val="16"/>
                <w:szCs w:val="16"/>
              </w:rPr>
              <w:t>01BC03682-001</w:t>
            </w:r>
          </w:p>
        </w:tc>
        <w:tc>
          <w:tcPr>
            <w:tcW w:w="1417" w:type="dxa"/>
          </w:tcPr>
          <w:p w14:paraId="55614047" w14:textId="28BCB5F8" w:rsidR="00C03515" w:rsidRPr="00C03515" w:rsidRDefault="00C03515" w:rsidP="00380775">
            <w:pPr>
              <w:pStyle w:val="SENTENCIAS"/>
              <w:ind w:firstLine="0"/>
              <w:jc w:val="right"/>
              <w:rPr>
                <w:sz w:val="16"/>
                <w:szCs w:val="16"/>
              </w:rPr>
            </w:pPr>
            <w:r>
              <w:rPr>
                <w:sz w:val="16"/>
                <w:szCs w:val="16"/>
              </w:rPr>
              <w:t>$3,530.29</w:t>
            </w:r>
          </w:p>
        </w:tc>
        <w:tc>
          <w:tcPr>
            <w:tcW w:w="1276" w:type="dxa"/>
          </w:tcPr>
          <w:p w14:paraId="0EEBB698" w14:textId="7464160A" w:rsidR="00C03515" w:rsidRPr="00C03515" w:rsidRDefault="00C03515" w:rsidP="00380775">
            <w:pPr>
              <w:pStyle w:val="SENTENCIAS"/>
              <w:ind w:firstLine="0"/>
              <w:jc w:val="right"/>
              <w:rPr>
                <w:sz w:val="16"/>
                <w:szCs w:val="16"/>
              </w:rPr>
            </w:pPr>
            <w:r>
              <w:rPr>
                <w:sz w:val="16"/>
                <w:szCs w:val="16"/>
              </w:rPr>
              <w:t>$997.29</w:t>
            </w:r>
          </w:p>
        </w:tc>
        <w:tc>
          <w:tcPr>
            <w:tcW w:w="1135" w:type="dxa"/>
          </w:tcPr>
          <w:p w14:paraId="03C88DAF" w14:textId="42BE1357" w:rsidR="00C03515" w:rsidRPr="00C03515" w:rsidRDefault="00C03515" w:rsidP="00380775">
            <w:pPr>
              <w:pStyle w:val="SENTENCIAS"/>
              <w:ind w:firstLine="0"/>
              <w:jc w:val="right"/>
              <w:rPr>
                <w:sz w:val="16"/>
                <w:szCs w:val="16"/>
              </w:rPr>
            </w:pPr>
            <w:r>
              <w:rPr>
                <w:sz w:val="16"/>
                <w:szCs w:val="16"/>
              </w:rPr>
              <w:t>$341.40</w:t>
            </w:r>
          </w:p>
        </w:tc>
        <w:tc>
          <w:tcPr>
            <w:tcW w:w="1094" w:type="dxa"/>
          </w:tcPr>
          <w:p w14:paraId="71C9C686" w14:textId="7F28F5D3" w:rsidR="00C03515" w:rsidRPr="00C03515" w:rsidRDefault="00C03515" w:rsidP="00380775">
            <w:pPr>
              <w:pStyle w:val="SENTENCIAS"/>
              <w:ind w:firstLine="0"/>
              <w:jc w:val="right"/>
              <w:rPr>
                <w:sz w:val="16"/>
                <w:szCs w:val="16"/>
              </w:rPr>
            </w:pPr>
            <w:r>
              <w:rPr>
                <w:sz w:val="16"/>
                <w:szCs w:val="16"/>
              </w:rPr>
              <w:t>$4,868.98</w:t>
            </w:r>
          </w:p>
        </w:tc>
      </w:tr>
      <w:tr w:rsidR="00C03515" w:rsidRPr="00C03515" w14:paraId="69D6EB94" w14:textId="64D1F64B" w:rsidTr="00C03515">
        <w:tc>
          <w:tcPr>
            <w:tcW w:w="2032" w:type="dxa"/>
          </w:tcPr>
          <w:p w14:paraId="3D694047" w14:textId="65DE2545" w:rsidR="00C03515" w:rsidRPr="00C03515" w:rsidRDefault="00C03515" w:rsidP="00C03515">
            <w:pPr>
              <w:pStyle w:val="SENTENCIAS"/>
              <w:ind w:firstLine="0"/>
              <w:rPr>
                <w:sz w:val="16"/>
                <w:szCs w:val="16"/>
              </w:rPr>
            </w:pPr>
            <w:r w:rsidRPr="00C03515">
              <w:rPr>
                <w:sz w:val="16"/>
                <w:szCs w:val="16"/>
              </w:rPr>
              <w:t>TML/DGI/10514/2015</w:t>
            </w:r>
          </w:p>
        </w:tc>
        <w:tc>
          <w:tcPr>
            <w:tcW w:w="1649" w:type="dxa"/>
          </w:tcPr>
          <w:p w14:paraId="09D3ABE1" w14:textId="6C52E2F8" w:rsidR="00C03515" w:rsidRPr="00C03515" w:rsidRDefault="00E276E2" w:rsidP="00C03515">
            <w:pPr>
              <w:pStyle w:val="SENTENCIAS"/>
              <w:ind w:firstLine="0"/>
              <w:rPr>
                <w:sz w:val="16"/>
                <w:szCs w:val="16"/>
              </w:rPr>
            </w:pPr>
            <w:r>
              <w:rPr>
                <w:sz w:val="16"/>
                <w:szCs w:val="16"/>
              </w:rPr>
              <w:t>01BC03683-001</w:t>
            </w:r>
          </w:p>
        </w:tc>
        <w:tc>
          <w:tcPr>
            <w:tcW w:w="1417" w:type="dxa"/>
          </w:tcPr>
          <w:p w14:paraId="1875802D" w14:textId="19EF73D3" w:rsidR="00C03515" w:rsidRPr="00C03515" w:rsidRDefault="00E276E2" w:rsidP="00380775">
            <w:pPr>
              <w:pStyle w:val="SENTENCIAS"/>
              <w:ind w:firstLine="0"/>
              <w:jc w:val="right"/>
              <w:rPr>
                <w:sz w:val="16"/>
                <w:szCs w:val="16"/>
              </w:rPr>
            </w:pPr>
            <w:r>
              <w:rPr>
                <w:sz w:val="16"/>
                <w:szCs w:val="16"/>
              </w:rPr>
              <w:t>$3530.29</w:t>
            </w:r>
          </w:p>
        </w:tc>
        <w:tc>
          <w:tcPr>
            <w:tcW w:w="1276" w:type="dxa"/>
          </w:tcPr>
          <w:p w14:paraId="6EC302FB" w14:textId="62467D7C" w:rsidR="00C03515" w:rsidRPr="00C03515" w:rsidRDefault="00E276E2" w:rsidP="00380775">
            <w:pPr>
              <w:pStyle w:val="SENTENCIAS"/>
              <w:ind w:firstLine="0"/>
              <w:jc w:val="right"/>
              <w:rPr>
                <w:sz w:val="16"/>
                <w:szCs w:val="16"/>
              </w:rPr>
            </w:pPr>
            <w:r>
              <w:rPr>
                <w:sz w:val="16"/>
                <w:szCs w:val="16"/>
              </w:rPr>
              <w:t>$997.29</w:t>
            </w:r>
          </w:p>
        </w:tc>
        <w:tc>
          <w:tcPr>
            <w:tcW w:w="1135" w:type="dxa"/>
          </w:tcPr>
          <w:p w14:paraId="4A563FB5" w14:textId="07DCCBCB" w:rsidR="00C03515" w:rsidRPr="00C03515" w:rsidRDefault="00E276E2" w:rsidP="00380775">
            <w:pPr>
              <w:pStyle w:val="SENTENCIAS"/>
              <w:ind w:firstLine="0"/>
              <w:jc w:val="right"/>
              <w:rPr>
                <w:sz w:val="16"/>
                <w:szCs w:val="16"/>
              </w:rPr>
            </w:pPr>
            <w:r>
              <w:rPr>
                <w:sz w:val="16"/>
                <w:szCs w:val="16"/>
              </w:rPr>
              <w:t>341.40</w:t>
            </w:r>
          </w:p>
        </w:tc>
        <w:tc>
          <w:tcPr>
            <w:tcW w:w="1094" w:type="dxa"/>
          </w:tcPr>
          <w:p w14:paraId="65E27F93" w14:textId="0E43058D" w:rsidR="00C03515" w:rsidRPr="00C03515" w:rsidRDefault="00E276E2" w:rsidP="00380775">
            <w:pPr>
              <w:pStyle w:val="SENTENCIAS"/>
              <w:ind w:firstLine="0"/>
              <w:jc w:val="right"/>
              <w:rPr>
                <w:sz w:val="16"/>
                <w:szCs w:val="16"/>
              </w:rPr>
            </w:pPr>
            <w:r>
              <w:rPr>
                <w:sz w:val="16"/>
                <w:szCs w:val="16"/>
              </w:rPr>
              <w:t>$4,868.98</w:t>
            </w:r>
          </w:p>
        </w:tc>
      </w:tr>
    </w:tbl>
    <w:p w14:paraId="1EA29885" w14:textId="1A1383A8" w:rsidR="00C03515" w:rsidRDefault="00C03515" w:rsidP="00C03515">
      <w:pPr>
        <w:pStyle w:val="SENTENCIAS"/>
      </w:pPr>
    </w:p>
    <w:p w14:paraId="79AE93AD" w14:textId="77777777" w:rsidR="005F7B98" w:rsidRDefault="005F7B98" w:rsidP="00C03515">
      <w:pPr>
        <w:pStyle w:val="SENTENCIAS"/>
      </w:pPr>
    </w:p>
    <w:p w14:paraId="3576D4D4" w14:textId="6851E2C7" w:rsidR="00C03515" w:rsidRDefault="003513FE" w:rsidP="00E276E2">
      <w:pPr>
        <w:pStyle w:val="RESOLUCIONES"/>
      </w:pPr>
      <w:r>
        <w:t xml:space="preserve">Para lo anterior, </w:t>
      </w:r>
      <w:r w:rsidR="005F7B98">
        <w:t xml:space="preserve">la autoridad demandada, de manera similar en los tres oficios que integran los actos impugnados, </w:t>
      </w:r>
      <w:r>
        <w:t>los fundament</w:t>
      </w:r>
      <w:r w:rsidR="00120F28">
        <w:t>a</w:t>
      </w:r>
      <w:r>
        <w:t xml:space="preserve"> </w:t>
      </w:r>
      <w:r w:rsidR="005F7B98">
        <w:t>en los términos</w:t>
      </w:r>
      <w:r w:rsidR="00E276E2">
        <w:t xml:space="preserve"> siguiente</w:t>
      </w:r>
      <w:r w:rsidR="005F7B98">
        <w:t>s</w:t>
      </w:r>
      <w:r w:rsidR="00E276E2">
        <w:t>:</w:t>
      </w:r>
      <w:r>
        <w:t xml:space="preserve"> </w:t>
      </w:r>
    </w:p>
    <w:p w14:paraId="7CCB3E28" w14:textId="5B6C294C" w:rsidR="00E276E2" w:rsidRDefault="00E276E2" w:rsidP="000B7F3E">
      <w:pPr>
        <w:spacing w:line="360" w:lineRule="auto"/>
        <w:ind w:firstLine="709"/>
        <w:jc w:val="both"/>
        <w:rPr>
          <w:rFonts w:ascii="Arial Narrow" w:hAnsi="Arial Narrow"/>
          <w:sz w:val="27"/>
          <w:szCs w:val="27"/>
        </w:rPr>
      </w:pPr>
    </w:p>
    <w:p w14:paraId="5F794104" w14:textId="2455C7C1" w:rsidR="00E276E2" w:rsidRDefault="00380775" w:rsidP="00380775">
      <w:pPr>
        <w:pStyle w:val="SENTENCIAS"/>
        <w:rPr>
          <w:i/>
          <w:sz w:val="22"/>
        </w:rPr>
      </w:pPr>
      <w:r w:rsidRPr="00380775">
        <w:rPr>
          <w:i/>
          <w:sz w:val="22"/>
        </w:rPr>
        <w:t xml:space="preserve">“…. De la Constitución Política de los Estados Unidos Mexicanos, ….. de la Constitución Política para el Estado de Guanajuato, </w:t>
      </w:r>
      <w:r w:rsidR="00E276E2" w:rsidRPr="00380775">
        <w:rPr>
          <w:i/>
          <w:sz w:val="22"/>
        </w:rPr>
        <w:t xml:space="preserve">1,2 fracción I inciso a), 5,6,7,11,13,15 inciso d), 17, 23, 24 fracción I, 43, 44, 51, 66, 67, 69 fracciones II y VII, 70 fracciones I y iv, 179,180,183 y 184 de la Ley de Hacienda </w:t>
      </w:r>
      <w:r w:rsidR="00640B03" w:rsidRPr="00380775">
        <w:rPr>
          <w:i/>
          <w:sz w:val="22"/>
        </w:rPr>
        <w:t>para los Municipios del Estado de Guanajuato, 8, de la Ley de Ingresos para el Municipio de León, Guanajuato para el ejercicio fiscal del año (2012 y en otro 2013); 15, fracción VII y XVII, 45 fracción III, 55 fracción II y 57 fracciones II, III y VIII del Reglamento Interior de la Administración Pública Municipal de León, Gto.</w:t>
      </w:r>
      <w:r w:rsidR="005F7B98">
        <w:rPr>
          <w:i/>
          <w:sz w:val="22"/>
        </w:rPr>
        <w:t xml:space="preserve"> …”</w:t>
      </w:r>
      <w:r w:rsidR="00640B03" w:rsidRPr="00380775">
        <w:rPr>
          <w:i/>
          <w:sz w:val="22"/>
        </w:rPr>
        <w:t xml:space="preserve"> </w:t>
      </w:r>
    </w:p>
    <w:p w14:paraId="37785AD5" w14:textId="6906EE9E" w:rsidR="005F7B98" w:rsidRDefault="005F7B98" w:rsidP="00380775">
      <w:pPr>
        <w:pStyle w:val="SENTENCIAS"/>
        <w:rPr>
          <w:i/>
          <w:sz w:val="22"/>
        </w:rPr>
      </w:pPr>
    </w:p>
    <w:p w14:paraId="49FD070E" w14:textId="77777777" w:rsidR="00340CD4" w:rsidRPr="00380775" w:rsidRDefault="00340CD4" w:rsidP="00380775">
      <w:pPr>
        <w:pStyle w:val="SENTENCIAS"/>
        <w:rPr>
          <w:i/>
          <w:sz w:val="22"/>
        </w:rPr>
      </w:pPr>
    </w:p>
    <w:p w14:paraId="3945D8D6" w14:textId="1F8DAC99" w:rsidR="00640B03" w:rsidRPr="0002075E" w:rsidRDefault="00640B03" w:rsidP="0002075E">
      <w:pPr>
        <w:pStyle w:val="SENTENCIAS"/>
      </w:pPr>
      <w:r w:rsidRPr="0002075E">
        <w:t xml:space="preserve">De los preceptos anteriores, </w:t>
      </w:r>
      <w:r w:rsidR="005F7B98">
        <w:t xml:space="preserve">destacamos </w:t>
      </w:r>
      <w:r w:rsidRPr="0002075E">
        <w:t xml:space="preserve">el artículo </w:t>
      </w:r>
      <w:r w:rsidR="000B7F3E" w:rsidRPr="0002075E">
        <w:t>15, inciso D) de la Ley de Hacienda</w:t>
      </w:r>
      <w:r w:rsidR="005F7B98">
        <w:t xml:space="preserve"> </w:t>
      </w:r>
      <w:r w:rsidR="005F7B98" w:rsidRPr="005F7B98">
        <w:t>para los Municipios del Estado de Guanajuato</w:t>
      </w:r>
      <w:r w:rsidR="000B7F3E" w:rsidRPr="0002075E">
        <w:t xml:space="preserve">, </w:t>
      </w:r>
      <w:r w:rsidR="00600341" w:rsidRPr="0002075E">
        <w:t xml:space="preserve">y aunque la demandada no lo menciona como fundamento, </w:t>
      </w:r>
      <w:r w:rsidR="00A04702">
        <w:t xml:space="preserve">también destacamos </w:t>
      </w:r>
      <w:r w:rsidR="00600341" w:rsidRPr="0002075E">
        <w:t xml:space="preserve">el artículo 16 de la misma Ley, </w:t>
      </w:r>
      <w:r w:rsidR="00A04702">
        <w:t>desprendiéndose,</w:t>
      </w:r>
      <w:r w:rsidR="00066D67">
        <w:t xml:space="preserve"> d</w:t>
      </w:r>
      <w:r w:rsidR="00600341" w:rsidRPr="0002075E">
        <w:t xml:space="preserve">el primero </w:t>
      </w:r>
      <w:r w:rsidR="00A04702">
        <w:t xml:space="preserve">de los citados, </w:t>
      </w:r>
      <w:r w:rsidR="00066D67">
        <w:t>que las a</w:t>
      </w:r>
      <w:r w:rsidR="00600341" w:rsidRPr="0002075E">
        <w:t xml:space="preserve">utoridades fiscales </w:t>
      </w:r>
      <w:r w:rsidR="00066D67">
        <w:t xml:space="preserve">son: </w:t>
      </w:r>
      <w:r w:rsidRPr="0002075E">
        <w:t>Los Ayuntamientos</w:t>
      </w:r>
      <w:r w:rsidR="00600341" w:rsidRPr="0002075E">
        <w:t>, l</w:t>
      </w:r>
      <w:r w:rsidRPr="0002075E">
        <w:t>os Presidentes Municipales</w:t>
      </w:r>
      <w:r w:rsidR="00600341" w:rsidRPr="0002075E">
        <w:t>, l</w:t>
      </w:r>
      <w:r w:rsidRPr="0002075E">
        <w:t>os Tesoreros Municipales</w:t>
      </w:r>
      <w:r w:rsidR="00600341" w:rsidRPr="0002075E">
        <w:t xml:space="preserve"> y a</w:t>
      </w:r>
      <w:r w:rsidRPr="0002075E">
        <w:t>utoridades, Interventores e Inspectores de la Tesorería Municipal</w:t>
      </w:r>
      <w:r w:rsidR="00600341" w:rsidRPr="0002075E">
        <w:t xml:space="preserve">, </w:t>
      </w:r>
      <w:r w:rsidR="00A04702">
        <w:t xml:space="preserve">y el segundo se refiere, respecto de las autoridades anteriores, que </w:t>
      </w:r>
      <w:r w:rsidR="00600341" w:rsidRPr="0002075E">
        <w:t xml:space="preserve">para el </w:t>
      </w:r>
      <w:r w:rsidRPr="0002075E">
        <w:t xml:space="preserve">cumplimiento de sus funciones y </w:t>
      </w:r>
      <w:r w:rsidR="00066D67">
        <w:t xml:space="preserve">en </w:t>
      </w:r>
      <w:r w:rsidRPr="0002075E">
        <w:t xml:space="preserve">el ejercicio de sus facultades </w:t>
      </w:r>
      <w:r w:rsidR="00A04702">
        <w:t xml:space="preserve">éstas </w:t>
      </w:r>
      <w:r w:rsidRPr="0002075E">
        <w:t>podrán delegarlas, siempre que no contravengan las disposiciones legales respectivas.</w:t>
      </w:r>
      <w:r w:rsidR="00066D67">
        <w:t xml:space="preserve"> -----</w:t>
      </w:r>
      <w:r w:rsidR="00A04702">
        <w:t>--</w:t>
      </w:r>
      <w:r w:rsidR="00066D67">
        <w:t>-----------------------------------------------------</w:t>
      </w:r>
    </w:p>
    <w:p w14:paraId="4F0A0848" w14:textId="6D8B0A4E" w:rsidR="00066D67" w:rsidRDefault="00066D67" w:rsidP="00640B03">
      <w:pPr>
        <w:ind w:firstLine="709"/>
        <w:jc w:val="both"/>
        <w:rPr>
          <w:rFonts w:ascii="Verdana" w:hAnsi="Verdana" w:cs="Arial"/>
          <w:sz w:val="20"/>
          <w:szCs w:val="20"/>
        </w:rPr>
      </w:pPr>
    </w:p>
    <w:p w14:paraId="0A173F5C" w14:textId="77777777" w:rsidR="00340CD4" w:rsidRDefault="00340CD4" w:rsidP="00640B03">
      <w:pPr>
        <w:ind w:firstLine="709"/>
        <w:jc w:val="both"/>
        <w:rPr>
          <w:rFonts w:ascii="Verdana" w:hAnsi="Verdana" w:cs="Arial"/>
          <w:sz w:val="20"/>
          <w:szCs w:val="20"/>
        </w:rPr>
      </w:pPr>
    </w:p>
    <w:p w14:paraId="50E3BACA" w14:textId="0B4AED7A" w:rsidR="00600341" w:rsidRDefault="00600341" w:rsidP="00600341">
      <w:pPr>
        <w:pStyle w:val="RESOLUCIONES"/>
      </w:pPr>
      <w:r>
        <w:t xml:space="preserve">Ahora bien, la Directora de Impuestos Inmobiliarios funda su competencia para emitir los actos impugnados en el Reglamento Interior de la Administración Pública Municipal de León, Guanajuato, </w:t>
      </w:r>
      <w:r w:rsidR="00A04702">
        <w:t xml:space="preserve">siendo </w:t>
      </w:r>
      <w:r>
        <w:t xml:space="preserve">el vigente a la emisión de los actos impugnados, el publicado en el </w:t>
      </w:r>
      <w:r w:rsidR="00066D67">
        <w:t>Periódico</w:t>
      </w:r>
      <w:r>
        <w:t xml:space="preserve"> Oficial del Gobierno del Estado, número 70, Segunda</w:t>
      </w:r>
      <w:r w:rsidR="0002075E">
        <w:t xml:space="preserve">, </w:t>
      </w:r>
      <w:r>
        <w:t xml:space="preserve">Parte, de fecha 02 dos de mayo de 2014 dos mil catorce, </w:t>
      </w:r>
      <w:r w:rsidR="00A04702">
        <w:t xml:space="preserve">en los siguientes </w:t>
      </w:r>
      <w:r>
        <w:t>preceptos:</w:t>
      </w:r>
      <w:r w:rsidR="00A04702">
        <w:t xml:space="preserve"> ---------------------------------------</w:t>
      </w:r>
    </w:p>
    <w:p w14:paraId="6E41A6EF" w14:textId="6C891363" w:rsidR="00600341" w:rsidRDefault="00600341" w:rsidP="00600341">
      <w:pPr>
        <w:pStyle w:val="RESOLUCIONES"/>
      </w:pPr>
    </w:p>
    <w:p w14:paraId="61B99D9F" w14:textId="6E00CF1D" w:rsidR="00600341" w:rsidRDefault="00600341" w:rsidP="00600341">
      <w:pPr>
        <w:pStyle w:val="TESISYJURIS"/>
      </w:pPr>
      <w:r>
        <w:rPr>
          <w:b/>
        </w:rPr>
        <w:t xml:space="preserve">Artículo 15. </w:t>
      </w:r>
      <w:r>
        <w:t>Los Directores de Área, tendrán las siguientes atribuciones comunes:</w:t>
      </w:r>
    </w:p>
    <w:p w14:paraId="358FA000" w14:textId="77777777" w:rsidR="00600341" w:rsidRPr="00600341" w:rsidRDefault="00600341" w:rsidP="00600341">
      <w:pPr>
        <w:pStyle w:val="TESISYJURIS"/>
        <w:rPr>
          <w:rFonts w:ascii="Arial" w:eastAsiaTheme="minorHAnsi" w:hAnsi="Arial" w:cs="Arial"/>
          <w:color w:val="000000"/>
          <w:lang w:val="es-MX" w:eastAsia="en-US"/>
        </w:rPr>
      </w:pPr>
    </w:p>
    <w:p w14:paraId="61F9E7EE" w14:textId="0D18E575" w:rsidR="00600341" w:rsidRDefault="00600341" w:rsidP="00FC56F9">
      <w:pPr>
        <w:pStyle w:val="TESISYJURIS"/>
        <w:rPr>
          <w:lang w:val="es-MX" w:eastAsia="en-US"/>
        </w:rPr>
      </w:pPr>
      <w:r>
        <w:rPr>
          <w:lang w:val="es-MX" w:eastAsia="en-US"/>
        </w:rPr>
        <w:t xml:space="preserve">VII. </w:t>
      </w:r>
      <w:r w:rsidRPr="00600341">
        <w:rPr>
          <w:lang w:val="es-MX" w:eastAsia="en-US"/>
        </w:rPr>
        <w:t xml:space="preserve">Suscribir los documentos relativos al ejercicio de sus atribuciones, las que les sean delegadas o las que les correspondan por suplencia; </w:t>
      </w:r>
    </w:p>
    <w:p w14:paraId="0F277633" w14:textId="0492F195" w:rsidR="00600341" w:rsidRDefault="00600341" w:rsidP="00FC56F9">
      <w:pPr>
        <w:pStyle w:val="TESISYJURIS"/>
        <w:rPr>
          <w:lang w:val="es-MX" w:eastAsia="en-US"/>
        </w:rPr>
      </w:pPr>
    </w:p>
    <w:p w14:paraId="2A1AD7D2" w14:textId="77777777" w:rsidR="00600341" w:rsidRPr="00600341" w:rsidRDefault="00600341" w:rsidP="00FC56F9">
      <w:pPr>
        <w:pStyle w:val="TESISYJURIS"/>
        <w:rPr>
          <w:lang w:val="es-MX" w:eastAsia="en-US"/>
        </w:rPr>
      </w:pPr>
    </w:p>
    <w:p w14:paraId="62D66017" w14:textId="78812F91" w:rsidR="00600341" w:rsidRDefault="00600341" w:rsidP="00FC56F9">
      <w:pPr>
        <w:pStyle w:val="TESISYJURIS"/>
        <w:rPr>
          <w:lang w:val="es-MX" w:eastAsia="en-US"/>
        </w:rPr>
      </w:pPr>
      <w:r>
        <w:rPr>
          <w:lang w:val="es-MX" w:eastAsia="en-US"/>
        </w:rPr>
        <w:t xml:space="preserve">XVII. </w:t>
      </w:r>
      <w:r w:rsidRPr="00600341">
        <w:rPr>
          <w:lang w:val="es-MX" w:eastAsia="en-US"/>
        </w:rPr>
        <w:t xml:space="preserve">Las demás que le señale el presente ordenamiento y otras disposiciones jurídicas vigentes. </w:t>
      </w:r>
    </w:p>
    <w:p w14:paraId="0F0AC75D" w14:textId="77777777" w:rsidR="00600341" w:rsidRDefault="00600341" w:rsidP="00600341">
      <w:pPr>
        <w:pStyle w:val="TESISYJURIS"/>
        <w:rPr>
          <w:rFonts w:ascii="Arial" w:eastAsiaTheme="minorHAnsi" w:hAnsi="Arial" w:cs="Arial"/>
          <w:color w:val="000000"/>
          <w:lang w:val="es-MX" w:eastAsia="en-US"/>
        </w:rPr>
      </w:pPr>
    </w:p>
    <w:p w14:paraId="6452349A" w14:textId="04B4BDA3" w:rsidR="00600341" w:rsidRDefault="00600341" w:rsidP="00600341">
      <w:pPr>
        <w:autoSpaceDE w:val="0"/>
        <w:autoSpaceDN w:val="0"/>
        <w:adjustRightInd w:val="0"/>
        <w:rPr>
          <w:rFonts w:ascii="Arial" w:eastAsiaTheme="minorHAnsi" w:hAnsi="Arial" w:cs="Arial"/>
          <w:color w:val="000000"/>
          <w:sz w:val="22"/>
          <w:szCs w:val="22"/>
          <w:lang w:val="es-MX" w:eastAsia="en-US"/>
        </w:rPr>
      </w:pPr>
    </w:p>
    <w:p w14:paraId="476A9A0E" w14:textId="2B287762" w:rsidR="00600341" w:rsidRPr="00600341" w:rsidRDefault="00600341" w:rsidP="00600341">
      <w:pPr>
        <w:pStyle w:val="TESISYJURIS"/>
      </w:pPr>
      <w:r w:rsidRPr="00FC56F9">
        <w:rPr>
          <w:b/>
        </w:rPr>
        <w:t>Artículo 45.</w:t>
      </w:r>
      <w:r w:rsidRPr="00600341">
        <w:t xml:space="preserve"> Para el estudio, planeación, programación, ejecución, control y despacho de los asuntos de su competencia, la Tesorería Municipal contará con las siguientes direcciones: </w:t>
      </w:r>
    </w:p>
    <w:p w14:paraId="4A78C1AB" w14:textId="77777777" w:rsidR="00600341" w:rsidRPr="00600341" w:rsidRDefault="00600341" w:rsidP="00600341">
      <w:pPr>
        <w:pStyle w:val="TESISYJURIS"/>
      </w:pPr>
    </w:p>
    <w:p w14:paraId="789E7408" w14:textId="77777777" w:rsidR="00600341" w:rsidRPr="00600341" w:rsidRDefault="00600341" w:rsidP="00600341">
      <w:pPr>
        <w:pStyle w:val="TESISYJURIS"/>
      </w:pPr>
      <w:r w:rsidRPr="00600341">
        <w:t>I.</w:t>
      </w:r>
    </w:p>
    <w:p w14:paraId="209EB71B" w14:textId="10F882D7" w:rsidR="00600341" w:rsidRPr="00600341" w:rsidRDefault="00600341" w:rsidP="00600341">
      <w:pPr>
        <w:pStyle w:val="TESISYJURIS"/>
      </w:pPr>
      <w:r w:rsidRPr="00600341">
        <w:t>II.</w:t>
      </w:r>
    </w:p>
    <w:p w14:paraId="437E634E" w14:textId="77777777" w:rsidR="00600341" w:rsidRPr="00600341" w:rsidRDefault="00600341" w:rsidP="00600341">
      <w:pPr>
        <w:pStyle w:val="TESISYJURIS"/>
      </w:pPr>
      <w:r w:rsidRPr="00600341">
        <w:t xml:space="preserve">III. Dirección General de Ingresos; </w:t>
      </w:r>
    </w:p>
    <w:p w14:paraId="62B48FDC" w14:textId="57CE4EE1" w:rsidR="00600341" w:rsidRDefault="00600341" w:rsidP="00600341">
      <w:pPr>
        <w:pStyle w:val="TESISYJURIS"/>
        <w:rPr>
          <w:lang w:val="es-MX" w:eastAsia="en-US"/>
        </w:rPr>
      </w:pPr>
    </w:p>
    <w:p w14:paraId="20B4F85D" w14:textId="77777777" w:rsidR="00340CD4" w:rsidRPr="00600341" w:rsidRDefault="00340CD4" w:rsidP="00600341">
      <w:pPr>
        <w:pStyle w:val="TESISYJURIS"/>
        <w:rPr>
          <w:lang w:val="es-MX" w:eastAsia="en-US"/>
        </w:rPr>
      </w:pPr>
    </w:p>
    <w:p w14:paraId="06A35961" w14:textId="3D4081B8" w:rsidR="00600341" w:rsidRDefault="00600341" w:rsidP="00600341">
      <w:pPr>
        <w:pStyle w:val="TESISYJURIS"/>
        <w:rPr>
          <w:lang w:val="es-MX" w:eastAsia="en-US"/>
        </w:rPr>
      </w:pPr>
      <w:r w:rsidRPr="00600341">
        <w:rPr>
          <w:b/>
          <w:lang w:val="es-MX" w:eastAsia="en-US"/>
        </w:rPr>
        <w:t xml:space="preserve">Artículo 55. </w:t>
      </w:r>
      <w:r w:rsidRPr="00600341">
        <w:rPr>
          <w:lang w:val="es-MX" w:eastAsia="en-US"/>
        </w:rPr>
        <w:t xml:space="preserve">La Dirección General de Ingresos debe planear, apoyar, coordinar y supervisar el trabajo de las siguientes direcciones de área: </w:t>
      </w:r>
    </w:p>
    <w:p w14:paraId="6EBD49E8" w14:textId="77777777" w:rsidR="00600341" w:rsidRPr="00600341" w:rsidRDefault="00600341" w:rsidP="00600341">
      <w:pPr>
        <w:pStyle w:val="TESISYJURIS"/>
        <w:rPr>
          <w:lang w:val="es-MX" w:eastAsia="en-US"/>
        </w:rPr>
      </w:pPr>
    </w:p>
    <w:p w14:paraId="43A8A366" w14:textId="638C6479" w:rsidR="00600341" w:rsidRPr="00600341" w:rsidRDefault="00600341" w:rsidP="00600341">
      <w:pPr>
        <w:pStyle w:val="TESISYJURIS"/>
        <w:rPr>
          <w:lang w:val="es-MX" w:eastAsia="en-US"/>
        </w:rPr>
      </w:pPr>
      <w:r w:rsidRPr="00600341">
        <w:rPr>
          <w:b/>
          <w:lang w:val="es-MX" w:eastAsia="en-US"/>
        </w:rPr>
        <w:t xml:space="preserve">I. </w:t>
      </w:r>
      <w:r w:rsidRPr="00600341">
        <w:rPr>
          <w:lang w:val="es-MX" w:eastAsia="en-US"/>
        </w:rPr>
        <w:t xml:space="preserve"> </w:t>
      </w:r>
    </w:p>
    <w:p w14:paraId="37914CA2" w14:textId="77777777" w:rsidR="00600341" w:rsidRPr="00600341" w:rsidRDefault="00600341" w:rsidP="00600341">
      <w:pPr>
        <w:pStyle w:val="TESISYJURIS"/>
        <w:rPr>
          <w:lang w:val="es-MX" w:eastAsia="en-US"/>
        </w:rPr>
      </w:pPr>
    </w:p>
    <w:p w14:paraId="5C35AEC1" w14:textId="64BB0130" w:rsidR="00600341" w:rsidRDefault="00600341" w:rsidP="00600341">
      <w:pPr>
        <w:pStyle w:val="TESISYJURIS"/>
        <w:rPr>
          <w:lang w:val="es-MX" w:eastAsia="en-US"/>
        </w:rPr>
      </w:pPr>
      <w:r w:rsidRPr="00600341">
        <w:rPr>
          <w:b/>
          <w:lang w:val="es-MX" w:eastAsia="en-US"/>
        </w:rPr>
        <w:t xml:space="preserve">II. </w:t>
      </w:r>
      <w:r w:rsidRPr="00600341">
        <w:rPr>
          <w:lang w:val="es-MX" w:eastAsia="en-US"/>
        </w:rPr>
        <w:t xml:space="preserve">Dirección de Impuestos Inmobiliarios; </w:t>
      </w:r>
    </w:p>
    <w:p w14:paraId="752977B5" w14:textId="77E8FC49" w:rsidR="00600341" w:rsidRDefault="00600341" w:rsidP="00600341">
      <w:pPr>
        <w:pStyle w:val="TESISYJURIS"/>
        <w:rPr>
          <w:lang w:val="es-MX" w:eastAsia="en-US"/>
        </w:rPr>
      </w:pPr>
    </w:p>
    <w:p w14:paraId="4023826B" w14:textId="77777777" w:rsidR="00340CD4" w:rsidRPr="00600341" w:rsidRDefault="00340CD4" w:rsidP="00600341">
      <w:pPr>
        <w:pStyle w:val="TESISYJURIS"/>
        <w:rPr>
          <w:lang w:val="es-MX" w:eastAsia="en-US"/>
        </w:rPr>
      </w:pPr>
    </w:p>
    <w:p w14:paraId="052B79BF" w14:textId="07E0B3E8" w:rsidR="00600341" w:rsidRDefault="00600341" w:rsidP="00600341">
      <w:pPr>
        <w:pStyle w:val="TESISYJURIS"/>
        <w:rPr>
          <w:lang w:val="es-MX" w:eastAsia="en-US"/>
        </w:rPr>
      </w:pPr>
      <w:r w:rsidRPr="00600341">
        <w:rPr>
          <w:b/>
          <w:lang w:val="es-MX" w:eastAsia="en-US"/>
        </w:rPr>
        <w:t xml:space="preserve">Artículo 57. </w:t>
      </w:r>
      <w:r w:rsidRPr="00600341">
        <w:rPr>
          <w:lang w:val="es-MX" w:eastAsia="en-US"/>
        </w:rPr>
        <w:t xml:space="preserve">La Dirección de Impuestos Inmobiliarios tiene, además de las atribuciones comunes a los directores de área, las siguientes: </w:t>
      </w:r>
    </w:p>
    <w:p w14:paraId="5262819A" w14:textId="77777777" w:rsidR="00600341" w:rsidRPr="00600341" w:rsidRDefault="00600341" w:rsidP="00600341">
      <w:pPr>
        <w:pStyle w:val="TESISYJURIS"/>
        <w:rPr>
          <w:lang w:val="es-MX" w:eastAsia="en-US"/>
        </w:rPr>
      </w:pPr>
    </w:p>
    <w:p w14:paraId="6FEA581F" w14:textId="2448BCAE" w:rsidR="00600341" w:rsidRPr="00600341" w:rsidRDefault="00600341" w:rsidP="00600341">
      <w:pPr>
        <w:pStyle w:val="TESISYJURIS"/>
        <w:rPr>
          <w:lang w:val="es-MX" w:eastAsia="en-US"/>
        </w:rPr>
      </w:pPr>
      <w:r w:rsidRPr="00600341">
        <w:rPr>
          <w:b/>
          <w:lang w:val="es-MX" w:eastAsia="en-US"/>
        </w:rPr>
        <w:t xml:space="preserve">I. </w:t>
      </w:r>
      <w:r w:rsidRPr="00600341">
        <w:rPr>
          <w:lang w:val="es-MX" w:eastAsia="en-US"/>
        </w:rPr>
        <w:t xml:space="preserve"> </w:t>
      </w:r>
    </w:p>
    <w:p w14:paraId="0C437EE6" w14:textId="77777777" w:rsidR="00600341" w:rsidRPr="00600341" w:rsidRDefault="00600341" w:rsidP="00600341">
      <w:pPr>
        <w:pStyle w:val="TESISYJURIS"/>
        <w:rPr>
          <w:lang w:val="es-MX" w:eastAsia="en-US"/>
        </w:rPr>
      </w:pPr>
    </w:p>
    <w:p w14:paraId="1467E4BF" w14:textId="77777777" w:rsidR="00600341" w:rsidRPr="00600341" w:rsidRDefault="00600341" w:rsidP="00600341">
      <w:pPr>
        <w:pStyle w:val="TESISYJURIS"/>
        <w:rPr>
          <w:lang w:val="es-MX" w:eastAsia="en-US"/>
        </w:rPr>
      </w:pPr>
      <w:r w:rsidRPr="00600341">
        <w:rPr>
          <w:b/>
          <w:lang w:val="es-MX" w:eastAsia="en-US"/>
        </w:rPr>
        <w:t xml:space="preserve">II. </w:t>
      </w:r>
      <w:r w:rsidRPr="00600341">
        <w:rPr>
          <w:lang w:val="es-MX" w:eastAsia="en-US"/>
        </w:rPr>
        <w:t xml:space="preserve">Generar la determinación y liquidación de las contribuciones a la propiedad inmobiliaria de acuerdo a la legislación vigente; </w:t>
      </w:r>
    </w:p>
    <w:p w14:paraId="70BF26C9" w14:textId="77777777" w:rsidR="00600341" w:rsidRPr="00600341" w:rsidRDefault="00600341" w:rsidP="00600341">
      <w:pPr>
        <w:pStyle w:val="TESISYJURIS"/>
        <w:rPr>
          <w:lang w:val="es-MX" w:eastAsia="en-US"/>
        </w:rPr>
      </w:pPr>
    </w:p>
    <w:p w14:paraId="703FDE15" w14:textId="77777777" w:rsidR="00600341" w:rsidRPr="00600341" w:rsidRDefault="00600341" w:rsidP="00600341">
      <w:pPr>
        <w:pStyle w:val="TESISYJURIS"/>
        <w:rPr>
          <w:lang w:val="es-MX" w:eastAsia="en-US"/>
        </w:rPr>
      </w:pPr>
      <w:r w:rsidRPr="00600341">
        <w:rPr>
          <w:b/>
          <w:lang w:val="es-MX" w:eastAsia="en-US"/>
        </w:rPr>
        <w:t xml:space="preserve">III. </w:t>
      </w:r>
      <w:r w:rsidRPr="00600341">
        <w:rPr>
          <w:lang w:val="es-MX" w:eastAsia="en-US"/>
        </w:rPr>
        <w:t xml:space="preserve">Recibir y capturar las declaraciones de traslado de dominio y los movimientos que originen; </w:t>
      </w:r>
    </w:p>
    <w:p w14:paraId="1E023D8A" w14:textId="77777777" w:rsidR="00600341" w:rsidRPr="00600341" w:rsidRDefault="00600341" w:rsidP="00600341">
      <w:pPr>
        <w:pStyle w:val="TESISYJURIS"/>
      </w:pPr>
    </w:p>
    <w:p w14:paraId="56FF90AD" w14:textId="78342CA6" w:rsidR="00600341" w:rsidRPr="00600341" w:rsidRDefault="00600341" w:rsidP="00600341">
      <w:pPr>
        <w:pStyle w:val="TESISYJURIS"/>
      </w:pPr>
      <w:r w:rsidRPr="00600341">
        <w:t xml:space="preserve">VIII Las demás que le señale el presente ordenamiento y otras disposiciones legales aplicables. </w:t>
      </w:r>
    </w:p>
    <w:p w14:paraId="6C93949E" w14:textId="3721045B" w:rsidR="00600341" w:rsidRDefault="00600341" w:rsidP="00600341">
      <w:pPr>
        <w:pStyle w:val="TESISYJURIS"/>
      </w:pPr>
    </w:p>
    <w:p w14:paraId="08B0F313" w14:textId="77777777" w:rsidR="00340CD4" w:rsidRPr="00600341" w:rsidRDefault="00340CD4" w:rsidP="00600341">
      <w:pPr>
        <w:pStyle w:val="TESISYJURIS"/>
      </w:pPr>
    </w:p>
    <w:p w14:paraId="144A9CB3" w14:textId="77777777" w:rsidR="00600341" w:rsidRPr="00600341" w:rsidRDefault="00600341" w:rsidP="00600341">
      <w:pPr>
        <w:autoSpaceDE w:val="0"/>
        <w:autoSpaceDN w:val="0"/>
        <w:adjustRightInd w:val="0"/>
        <w:rPr>
          <w:rFonts w:ascii="Arial" w:eastAsiaTheme="minorHAnsi" w:hAnsi="Arial" w:cs="Arial"/>
          <w:color w:val="000000"/>
          <w:sz w:val="22"/>
          <w:szCs w:val="22"/>
          <w:lang w:val="es-MX" w:eastAsia="en-US"/>
        </w:rPr>
      </w:pPr>
    </w:p>
    <w:p w14:paraId="3D207678" w14:textId="75B8D906" w:rsidR="00600341" w:rsidRDefault="00A04702" w:rsidP="00600341">
      <w:pPr>
        <w:pStyle w:val="RESOLUCIONES"/>
        <w:rPr>
          <w:lang w:val="es-MX"/>
        </w:rPr>
      </w:pPr>
      <w:r>
        <w:rPr>
          <w:lang w:val="es-MX"/>
        </w:rPr>
        <w:t>D</w:t>
      </w:r>
      <w:r w:rsidR="00600341">
        <w:rPr>
          <w:lang w:val="es-MX"/>
        </w:rPr>
        <w:t xml:space="preserve">e los actos impugnados, </w:t>
      </w:r>
      <w:r w:rsidR="0002075E">
        <w:rPr>
          <w:lang w:val="es-MX"/>
        </w:rPr>
        <w:t>se desprende que la Directora de Impuestos Inmobiliarios, determina y liquida a cargo del contribuyente</w:t>
      </w:r>
      <w:r w:rsidR="00066D67">
        <w:rPr>
          <w:lang w:val="es-MX"/>
        </w:rPr>
        <w:t>,</w:t>
      </w:r>
      <w:r w:rsidR="0002075E">
        <w:rPr>
          <w:lang w:val="es-MX"/>
        </w:rPr>
        <w:t xml:space="preserve"> </w:t>
      </w:r>
      <w:r>
        <w:rPr>
          <w:lang w:val="es-MX"/>
        </w:rPr>
        <w:t>obligaciones omitidas</w:t>
      </w:r>
      <w:r w:rsidR="0002075E">
        <w:rPr>
          <w:lang w:val="es-MX"/>
        </w:rPr>
        <w:t xml:space="preserve">, recargos e impone una multa, </w:t>
      </w:r>
      <w:r w:rsidR="00066D67">
        <w:rPr>
          <w:lang w:val="es-MX"/>
        </w:rPr>
        <w:t xml:space="preserve">todo lo anterior por concepto de </w:t>
      </w:r>
      <w:r>
        <w:rPr>
          <w:lang w:val="es-MX"/>
        </w:rPr>
        <w:t>Impuesto de Traslado de Dominio</w:t>
      </w:r>
      <w:r w:rsidR="0002075E">
        <w:rPr>
          <w:lang w:val="es-MX"/>
        </w:rPr>
        <w:t xml:space="preserve">, </w:t>
      </w:r>
      <w:r w:rsidR="00066D67">
        <w:rPr>
          <w:lang w:val="es-MX"/>
        </w:rPr>
        <w:t xml:space="preserve">ahora denominado </w:t>
      </w:r>
      <w:r>
        <w:rPr>
          <w:lang w:val="es-MX"/>
        </w:rPr>
        <w:t>Impuesto por Adquisición de Bienes</w:t>
      </w:r>
      <w:r w:rsidR="00120F28">
        <w:rPr>
          <w:lang w:val="es-MX"/>
        </w:rPr>
        <w:t xml:space="preserve"> Inmuebles</w:t>
      </w:r>
      <w:r w:rsidR="00066D67">
        <w:rPr>
          <w:lang w:val="es-MX"/>
        </w:rPr>
        <w:t xml:space="preserve">, </w:t>
      </w:r>
      <w:r>
        <w:rPr>
          <w:lang w:val="es-MX"/>
        </w:rPr>
        <w:t xml:space="preserve">considerando por esta resolutora que no cuenta </w:t>
      </w:r>
      <w:r w:rsidR="0002075E">
        <w:rPr>
          <w:lang w:val="es-MX"/>
        </w:rPr>
        <w:t>con facultad</w:t>
      </w:r>
      <w:r w:rsidR="00066D67">
        <w:rPr>
          <w:lang w:val="es-MX"/>
        </w:rPr>
        <w:t>es</w:t>
      </w:r>
      <w:r w:rsidR="0002075E">
        <w:rPr>
          <w:lang w:val="es-MX"/>
        </w:rPr>
        <w:t xml:space="preserve"> para ello. ---------</w:t>
      </w:r>
      <w:r>
        <w:rPr>
          <w:lang w:val="es-MX"/>
        </w:rPr>
        <w:t>--------------------------</w:t>
      </w:r>
      <w:r w:rsidR="00120F28">
        <w:rPr>
          <w:lang w:val="es-MX"/>
        </w:rPr>
        <w:t>----------------------------</w:t>
      </w:r>
    </w:p>
    <w:p w14:paraId="64D2B1C1" w14:textId="762D0487" w:rsidR="0002075E" w:rsidRDefault="0002075E" w:rsidP="00600341">
      <w:pPr>
        <w:pStyle w:val="RESOLUCIONES"/>
        <w:rPr>
          <w:lang w:val="es-MX"/>
        </w:rPr>
      </w:pPr>
    </w:p>
    <w:p w14:paraId="7A8ADD93" w14:textId="713660B5" w:rsidR="0002075E" w:rsidRDefault="0002075E" w:rsidP="00BE5B4F">
      <w:pPr>
        <w:pStyle w:val="SENTENCIAS"/>
      </w:pPr>
      <w:r>
        <w:rPr>
          <w:lang w:val="es-MX"/>
        </w:rPr>
        <w:t xml:space="preserve">Se llega a la conclusión anterior, </w:t>
      </w:r>
      <w:r w:rsidR="000E5CDC">
        <w:rPr>
          <w:lang w:val="es-MX"/>
        </w:rPr>
        <w:t xml:space="preserve">en razón de lo ya </w:t>
      </w:r>
      <w:r w:rsidR="00066D67">
        <w:rPr>
          <w:lang w:val="es-MX"/>
        </w:rPr>
        <w:t>menci</w:t>
      </w:r>
      <w:r w:rsidR="000E5CDC">
        <w:rPr>
          <w:lang w:val="es-MX"/>
        </w:rPr>
        <w:t>onado</w:t>
      </w:r>
      <w:r w:rsidR="00066D67">
        <w:rPr>
          <w:lang w:val="es-MX"/>
        </w:rPr>
        <w:t xml:space="preserve">, </w:t>
      </w:r>
      <w:r>
        <w:rPr>
          <w:lang w:val="es-MX"/>
        </w:rPr>
        <w:t xml:space="preserve">en </w:t>
      </w:r>
      <w:r w:rsidR="000E5CDC">
        <w:rPr>
          <w:lang w:val="es-MX"/>
        </w:rPr>
        <w:t xml:space="preserve">el sentido de que </w:t>
      </w:r>
      <w:r>
        <w:rPr>
          <w:lang w:val="es-MX"/>
        </w:rPr>
        <w:t xml:space="preserve">las autoridades fiscales son </w:t>
      </w:r>
      <w:r w:rsidR="00066D67">
        <w:rPr>
          <w:lang w:val="es-MX"/>
        </w:rPr>
        <w:t>l</w:t>
      </w:r>
      <w:r w:rsidRPr="0002075E">
        <w:rPr>
          <w:lang w:val="es-MX"/>
        </w:rPr>
        <w:t>os Ayuntamientos, los Presidentes Municipales, los Tesoreros Municipales y autoridades, Interventores e Inspectores de la Tesorería Municipal,</w:t>
      </w:r>
      <w:r>
        <w:rPr>
          <w:lang w:val="es-MX"/>
        </w:rPr>
        <w:t xml:space="preserve"> a</w:t>
      </w:r>
      <w:r w:rsidR="000E5CDC">
        <w:rPr>
          <w:lang w:val="es-MX"/>
        </w:rPr>
        <w:t xml:space="preserve">sí como en el principio de derecho, respecto de que </w:t>
      </w:r>
      <w:r>
        <w:rPr>
          <w:lang w:val="es-MX"/>
        </w:rPr>
        <w:t xml:space="preserve">la competencia de la autoridad, no es presumible, sino que debe estar determinada </w:t>
      </w:r>
      <w:r w:rsidR="00BE5B4F">
        <w:rPr>
          <w:lang w:val="es-MX"/>
        </w:rPr>
        <w:t xml:space="preserve">en el acto de autoridad, </w:t>
      </w:r>
      <w:r w:rsidR="00BE5B4F">
        <w:t>expresándose en el texto del mismo</w:t>
      </w:r>
      <w:r w:rsidR="00066D67">
        <w:t xml:space="preserve"> acto</w:t>
      </w:r>
      <w:r w:rsidR="00120F28">
        <w:t xml:space="preserve"> administrativo</w:t>
      </w:r>
      <w:r w:rsidR="00340CD4">
        <w:t>,</w:t>
      </w:r>
      <w:r w:rsidR="000E5CDC">
        <w:t xml:space="preserve"> el</w:t>
      </w:r>
      <w:r w:rsidR="00BE5B4F">
        <w:t xml:space="preserve"> dispositivo, </w:t>
      </w:r>
      <w:r w:rsidR="000E5CDC">
        <w:t xml:space="preserve">el </w:t>
      </w:r>
      <w:r w:rsidR="00BE5B4F">
        <w:t xml:space="preserve">acuerdo o </w:t>
      </w:r>
      <w:r w:rsidR="000E5CDC">
        <w:t xml:space="preserve">el </w:t>
      </w:r>
      <w:r w:rsidR="00BE5B4F">
        <w:t xml:space="preserve">decreto que </w:t>
      </w:r>
      <w:r w:rsidR="000E5CDC">
        <w:t xml:space="preserve">le </w:t>
      </w:r>
      <w:r w:rsidR="00BE5B4F">
        <w:t>otorg</w:t>
      </w:r>
      <w:r w:rsidR="000E5CDC">
        <w:t>a</w:t>
      </w:r>
      <w:r w:rsidR="00BE5B4F">
        <w:t xml:space="preserve"> tal legitimación, pues en caso contrario se dejaría al afectado en estado de indefensión para examinar si la actuación de la autoridad se encuentra dentro de</w:t>
      </w:r>
      <w:r w:rsidR="000E5CDC">
        <w:t xml:space="preserve"> su</w:t>
      </w:r>
      <w:r w:rsidR="00BE5B4F">
        <w:t xml:space="preserve"> ámbito competencial respectivo, esto es, si tiene facultad o no para emitirlo. ----------------</w:t>
      </w:r>
      <w:r w:rsidR="00120F28">
        <w:t>--------------------------------------------------------------</w:t>
      </w:r>
      <w:r w:rsidR="00066D67">
        <w:t>---------------</w:t>
      </w:r>
    </w:p>
    <w:p w14:paraId="5A95783F" w14:textId="6CAF53F0" w:rsidR="00BE5B4F" w:rsidRDefault="00BE5B4F" w:rsidP="00BE5B4F">
      <w:pPr>
        <w:pStyle w:val="SENTENCIAS"/>
      </w:pPr>
    </w:p>
    <w:p w14:paraId="4891CFEF" w14:textId="3266F66B" w:rsidR="00BE5B4F" w:rsidRDefault="00066D67" w:rsidP="00BE5B4F">
      <w:pPr>
        <w:pStyle w:val="SENTENCIAS"/>
      </w:pPr>
      <w:r>
        <w:t xml:space="preserve">En esta tesitura, se aprecia que </w:t>
      </w:r>
      <w:r w:rsidR="00BE5B4F">
        <w:t>de todos lo</w:t>
      </w:r>
      <w:r w:rsidR="001A3C9D">
        <w:t>s</w:t>
      </w:r>
      <w:r w:rsidR="00BE5B4F">
        <w:t xml:space="preserve"> preceptos legales invocados por la demandada, ninguno le da competencia para determinar la existencia de créditos fiscales, dar las bases de su liquidación, ni tampoco </w:t>
      </w:r>
      <w:r w:rsidR="000E5CDC">
        <w:t xml:space="preserve">para </w:t>
      </w:r>
      <w:r w:rsidR="00BE5B4F">
        <w:t>imponer sanciones</w:t>
      </w:r>
      <w:r w:rsidR="000E5CDC">
        <w:t>,</w:t>
      </w:r>
      <w:r w:rsidR="00BE5B4F">
        <w:t xml:space="preserve"> como en el presente caso</w:t>
      </w:r>
      <w:r w:rsidR="00340CD4">
        <w:t>,</w:t>
      </w:r>
      <w:r w:rsidR="00BE5B4F">
        <w:t xml:space="preserve"> </w:t>
      </w:r>
      <w:r w:rsidR="000E5CDC">
        <w:t>al imponer m</w:t>
      </w:r>
      <w:r w:rsidR="00BE5B4F">
        <w:t xml:space="preserve">ultas </w:t>
      </w:r>
      <w:r w:rsidR="000E5CDC">
        <w:t xml:space="preserve">en </w:t>
      </w:r>
      <w:r w:rsidR="00BE5B4F">
        <w:t>de cada uno de los actos impugnado</w:t>
      </w:r>
      <w:r>
        <w:t>s</w:t>
      </w:r>
      <w:r w:rsidR="00BE5B4F">
        <w:t xml:space="preserve">, ya que esa facultad está expresamente reservada </w:t>
      </w:r>
      <w:r>
        <w:t xml:space="preserve">y otorgada </w:t>
      </w:r>
      <w:r w:rsidR="00BE5B4F">
        <w:t xml:space="preserve">a la Dirección General de Ingresos, en </w:t>
      </w:r>
      <w:r w:rsidR="000E5CDC">
        <w:t xml:space="preserve">el </w:t>
      </w:r>
      <w:r w:rsidR="00BE5B4F">
        <w:t>artículo 54, fracción XVI del Reglamento Interior de la Administración Pública Municipal de León, Guanajuato</w:t>
      </w:r>
      <w:r w:rsidR="000E5CDC">
        <w:t xml:space="preserve">, al disponer </w:t>
      </w:r>
      <w:r>
        <w:t>lo siguiente:</w:t>
      </w:r>
      <w:r w:rsidR="000E5CDC">
        <w:t xml:space="preserve"> --------------------------------------------------------</w:t>
      </w:r>
    </w:p>
    <w:p w14:paraId="23CB6213" w14:textId="77777777" w:rsidR="00BE5B4F" w:rsidRDefault="00BE5B4F" w:rsidP="00BE5B4F">
      <w:pPr>
        <w:pStyle w:val="SENTENCIAS"/>
      </w:pPr>
    </w:p>
    <w:p w14:paraId="0E745D95" w14:textId="08ED15CE" w:rsidR="00BE5B4F" w:rsidRPr="001A3C9D" w:rsidRDefault="00BE5B4F" w:rsidP="001A3C9D">
      <w:pPr>
        <w:pStyle w:val="TESISYJURIS"/>
      </w:pPr>
      <w:r w:rsidRPr="00FC56F9">
        <w:rPr>
          <w:b/>
        </w:rPr>
        <w:t>Artículo 54.</w:t>
      </w:r>
      <w:r w:rsidRPr="001A3C9D">
        <w:t xml:space="preserve"> La Dirección General de Ingresos tiene, además de las atribuciones comunes a los directores generales que no ostenten el cargo de titular de dependencia, las siguientes:</w:t>
      </w:r>
    </w:p>
    <w:p w14:paraId="34C2F481" w14:textId="64722163" w:rsidR="00BE5B4F" w:rsidRPr="001A3C9D" w:rsidRDefault="001A3C9D" w:rsidP="001A3C9D">
      <w:pPr>
        <w:pStyle w:val="TESISYJURIS"/>
      </w:pPr>
      <w:r w:rsidRPr="001A3C9D">
        <w:t>I…</w:t>
      </w:r>
    </w:p>
    <w:p w14:paraId="0977AFF4" w14:textId="77777777" w:rsidR="001A3C9D" w:rsidRPr="001A3C9D" w:rsidRDefault="001A3C9D" w:rsidP="001A3C9D">
      <w:pPr>
        <w:pStyle w:val="TESISYJURIS"/>
      </w:pPr>
    </w:p>
    <w:p w14:paraId="362AD3E7" w14:textId="4AAE0F78" w:rsidR="00BE5B4F" w:rsidRPr="001A3C9D" w:rsidRDefault="001A3C9D" w:rsidP="001A3C9D">
      <w:pPr>
        <w:pStyle w:val="TESISYJURIS"/>
      </w:pPr>
      <w:r w:rsidRPr="001A3C9D">
        <w:t xml:space="preserve">XVI. </w:t>
      </w:r>
      <w:r w:rsidR="00BE5B4F" w:rsidRPr="001A3C9D">
        <w:t xml:space="preserve">Determinar la existencia de créditos fiscales, dar las bases para su liquidación, fijarlos en cantidad líquida e imponer las sanciones administrativas que procedan por infracciones fiscales; </w:t>
      </w:r>
    </w:p>
    <w:p w14:paraId="16F83ACC" w14:textId="76340EE4" w:rsidR="00BE5B4F" w:rsidRPr="001A3C9D" w:rsidRDefault="00BE5B4F" w:rsidP="001A3C9D">
      <w:pPr>
        <w:pStyle w:val="TESISYJURIS"/>
      </w:pPr>
    </w:p>
    <w:p w14:paraId="1045036E" w14:textId="77777777" w:rsidR="007963F9" w:rsidRDefault="007963F9" w:rsidP="00BE5B4F">
      <w:pPr>
        <w:pStyle w:val="SENTENCIAS"/>
        <w:rPr>
          <w:rFonts w:ascii="Arial Narrow" w:hAnsi="Arial Narrow"/>
          <w:sz w:val="27"/>
          <w:szCs w:val="27"/>
          <w:lang w:val="es-ES_tradnl"/>
        </w:rPr>
      </w:pPr>
    </w:p>
    <w:p w14:paraId="1FAE7DD1" w14:textId="5D07E043" w:rsidR="002C4E77" w:rsidRPr="004168D4" w:rsidRDefault="000E5CDC" w:rsidP="007963F9">
      <w:pPr>
        <w:pStyle w:val="RESOLUCIONES"/>
      </w:pPr>
      <w:r>
        <w:t>Luego entonces</w:t>
      </w:r>
      <w:r w:rsidR="00430527" w:rsidRPr="007963F9">
        <w:t xml:space="preserve">, </w:t>
      </w:r>
      <w:r w:rsidR="007963F9" w:rsidRPr="007963F9">
        <w:t>quien cuenta con facultades para determinar la existencia de créditos fiscales, dar las bases de liquidación, fijarlos en cantidad líquida e imponer sanciones es la Dirección General de Ingresos</w:t>
      </w:r>
      <w:r w:rsidR="004168D4">
        <w:t xml:space="preserve">; lo que incluso se </w:t>
      </w:r>
      <w:r w:rsidR="002C4E77">
        <w:t>afirma</w:t>
      </w:r>
      <w:r w:rsidR="004168D4">
        <w:t xml:space="preserve"> con lo dispuesto por el a</w:t>
      </w:r>
      <w:r w:rsidR="007963F9" w:rsidRPr="007963F9">
        <w:t>rtículo 57 del mencionado Reglamento Interior de la Administración Pública</w:t>
      </w:r>
      <w:r w:rsidR="002C4E77">
        <w:t xml:space="preserve">, </w:t>
      </w:r>
      <w:r w:rsidR="004168D4">
        <w:t>por</w:t>
      </w:r>
      <w:r w:rsidR="002C4E77">
        <w:t xml:space="preserve"> el cual la Directora de Impuestos Inmobiliarios </w:t>
      </w:r>
      <w:r w:rsidR="00D3745C">
        <w:t xml:space="preserve">pretende </w:t>
      </w:r>
      <w:r w:rsidR="004168D4">
        <w:t>sost</w:t>
      </w:r>
      <w:r w:rsidR="00D3745C">
        <w:t>ener</w:t>
      </w:r>
      <w:r w:rsidR="004168D4">
        <w:t xml:space="preserve"> la legalidad de </w:t>
      </w:r>
      <w:r w:rsidR="002C4E77">
        <w:t xml:space="preserve">los actos impugnados, </w:t>
      </w:r>
      <w:r w:rsidR="004168D4">
        <w:t xml:space="preserve">en el sentido de que </w:t>
      </w:r>
      <w:r w:rsidR="00120F28">
        <w:t xml:space="preserve">éste precepto legal, </w:t>
      </w:r>
      <w:r w:rsidR="002C4E77">
        <w:t>sólo</w:t>
      </w:r>
      <w:r w:rsidR="00120F28">
        <w:t xml:space="preserve"> le otorga atribuciones</w:t>
      </w:r>
      <w:r w:rsidR="002C4E77">
        <w:t xml:space="preserve">, </w:t>
      </w:r>
      <w:r w:rsidR="007963F9" w:rsidRPr="007963F9">
        <w:t xml:space="preserve">para </w:t>
      </w:r>
      <w:r w:rsidR="007963F9" w:rsidRPr="002C4E77">
        <w:rPr>
          <w:i/>
          <w:sz w:val="22"/>
        </w:rPr>
        <w:t>“generar la determinación y liquidación de las contribuciones a la propiedad inmobiliaria de acuerdo a la legislación vigente”</w:t>
      </w:r>
      <w:r w:rsidR="002C4E77">
        <w:rPr>
          <w:i/>
          <w:sz w:val="22"/>
        </w:rPr>
        <w:t xml:space="preserve">. </w:t>
      </w:r>
      <w:r w:rsidR="002C4E77" w:rsidRPr="004168D4">
        <w:t>--</w:t>
      </w:r>
      <w:r w:rsidR="004168D4" w:rsidRPr="004168D4">
        <w:t>-----------------------------------------------</w:t>
      </w:r>
      <w:r w:rsidR="00120F28">
        <w:t>----------------</w:t>
      </w:r>
    </w:p>
    <w:p w14:paraId="7D397A5B" w14:textId="77777777" w:rsidR="002C4E77" w:rsidRDefault="002C4E77" w:rsidP="007963F9">
      <w:pPr>
        <w:pStyle w:val="RESOLUCIONES"/>
        <w:rPr>
          <w:i/>
          <w:sz w:val="22"/>
        </w:rPr>
      </w:pPr>
    </w:p>
    <w:p w14:paraId="28026F28" w14:textId="5BEF9DB2" w:rsidR="002C4E77" w:rsidRDefault="00D3745C" w:rsidP="002C4E77">
      <w:pPr>
        <w:pStyle w:val="RESOLUCIONES"/>
      </w:pPr>
      <w:r w:rsidRPr="000B78AF">
        <w:t>En tal sentido</w:t>
      </w:r>
      <w:r w:rsidR="002C4E77" w:rsidRPr="000B78AF">
        <w:t xml:space="preserve">, </w:t>
      </w:r>
      <w:r w:rsidR="00F44459" w:rsidRPr="000B78AF">
        <w:t>existe una dependencia</w:t>
      </w:r>
      <w:r w:rsidRPr="000B78AF">
        <w:t xml:space="preserve"> de la Dirección de Impuestos Inmobiliario con respecto de la </w:t>
      </w:r>
      <w:r w:rsidR="00F44459" w:rsidRPr="000B78AF">
        <w:t>Dirección General de Ingresos</w:t>
      </w:r>
      <w:r w:rsidRPr="000B78AF">
        <w:t>, al contar ésta última c</w:t>
      </w:r>
      <w:r w:rsidR="00F44459" w:rsidRPr="000B78AF">
        <w:t>on facultades expresas para determinar la existencia de créditos fiscales, dar las bases de liquidación, fijarlos en cantidad líquida e imponer sanciones</w:t>
      </w:r>
      <w:r w:rsidR="002C4E77" w:rsidRPr="000B78AF">
        <w:t xml:space="preserve">, por lo </w:t>
      </w:r>
      <w:r w:rsidRPr="000B78AF">
        <w:t>tanto,</w:t>
      </w:r>
      <w:r w:rsidR="002C4E77" w:rsidRPr="000B78AF">
        <w:t xml:space="preserve"> la facultad de la Dirección de Impuestos Inmobiliarios para generar la determinación y liquidación de las contribuciones a la propiedad inmobiliaria, </w:t>
      </w:r>
      <w:r w:rsidR="0051168D">
        <w:t xml:space="preserve">solo </w:t>
      </w:r>
      <w:r w:rsidRPr="000B78AF">
        <w:t>deben ser ejercidas haci</w:t>
      </w:r>
      <w:r w:rsidR="002C4E77" w:rsidRPr="000B78AF">
        <w:t xml:space="preserve">a el interior de la Administración Pública Municipal, en el caso en concreto </w:t>
      </w:r>
      <w:r w:rsidRPr="000B78AF">
        <w:t xml:space="preserve">hacia </w:t>
      </w:r>
      <w:r w:rsidR="002C4E77" w:rsidRPr="000B78AF">
        <w:t xml:space="preserve">la Tesorería y </w:t>
      </w:r>
      <w:r w:rsidRPr="000B78AF">
        <w:t xml:space="preserve">hacia la </w:t>
      </w:r>
      <w:r w:rsidR="002C4E77" w:rsidRPr="000B78AF">
        <w:t xml:space="preserve">Dirección General de Ingresos, </w:t>
      </w:r>
      <w:r w:rsidR="0051168D">
        <w:t xml:space="preserve">por lo tanto, dicha generación no debe ser </w:t>
      </w:r>
      <w:r w:rsidR="002C4E77" w:rsidRPr="0051168D">
        <w:t xml:space="preserve">hacia los ciudadanos, </w:t>
      </w:r>
      <w:r w:rsidR="0051168D" w:rsidRPr="0051168D">
        <w:t>ello en razón de lo ya precisado</w:t>
      </w:r>
      <w:r w:rsidR="0051168D">
        <w:t>,</w:t>
      </w:r>
      <w:r w:rsidR="0051168D" w:rsidRPr="0051168D">
        <w:t xml:space="preserve"> en el sentido de </w:t>
      </w:r>
      <w:r w:rsidR="002C4E77" w:rsidRPr="0051168D">
        <w:t xml:space="preserve">que las facultades para determinar y liquidar </w:t>
      </w:r>
      <w:r w:rsidR="0051168D" w:rsidRPr="0051168D">
        <w:t xml:space="preserve">las contribuciones es </w:t>
      </w:r>
      <w:r w:rsidR="00120F28">
        <w:t xml:space="preserve">atribución </w:t>
      </w:r>
      <w:r w:rsidR="0051168D" w:rsidRPr="0051168D">
        <w:t xml:space="preserve">de la </w:t>
      </w:r>
      <w:r w:rsidR="002C4E77" w:rsidRPr="0051168D">
        <w:t>Dirección General de Ingresos. --------------------------------</w:t>
      </w:r>
      <w:r w:rsidR="00120F28">
        <w:t>-----------------------------</w:t>
      </w:r>
    </w:p>
    <w:p w14:paraId="262EE630" w14:textId="638FD4EE" w:rsidR="002C4E77" w:rsidRDefault="002C4E77" w:rsidP="002C4E77">
      <w:pPr>
        <w:pStyle w:val="RESOLUCIONES"/>
      </w:pPr>
    </w:p>
    <w:p w14:paraId="14FB83AF" w14:textId="1DAD2EFF" w:rsidR="00474EAA" w:rsidRDefault="00F44459" w:rsidP="007963F9">
      <w:pPr>
        <w:pStyle w:val="RESOLUCIONES"/>
      </w:pPr>
      <w:r>
        <w:t xml:space="preserve">Ahora bien, de los actos impugnados se aprecia que se </w:t>
      </w:r>
      <w:r w:rsidR="002C4E77">
        <w:t xml:space="preserve">le </w:t>
      </w:r>
      <w:r>
        <w:t xml:space="preserve">determina </w:t>
      </w:r>
      <w:r w:rsidR="002C4E77">
        <w:t xml:space="preserve">al justiciable, en tres documentos distintos, créditos de carácter </w:t>
      </w:r>
      <w:r>
        <w:t xml:space="preserve">fiscal por </w:t>
      </w:r>
      <w:r w:rsidRPr="00474EAA">
        <w:rPr>
          <w:i/>
          <w:sz w:val="22"/>
        </w:rPr>
        <w:t>“obligaciones omitidas”</w:t>
      </w:r>
      <w:r w:rsidR="00474EAA">
        <w:t xml:space="preserve">, recargos y </w:t>
      </w:r>
      <w:r w:rsidR="002C4E77">
        <w:t xml:space="preserve">se le impone </w:t>
      </w:r>
      <w:r w:rsidR="00474EAA">
        <w:t xml:space="preserve">una sanción consistente en multa, todo ello </w:t>
      </w:r>
      <w:r>
        <w:t xml:space="preserve">por </w:t>
      </w:r>
      <w:r w:rsidR="00474EAA">
        <w:t>concepto</w:t>
      </w:r>
      <w:r>
        <w:t xml:space="preserve"> del entonces </w:t>
      </w:r>
      <w:r w:rsidR="0051168D">
        <w:t>Impuesto de Traslado de Dominio</w:t>
      </w:r>
      <w:r>
        <w:t xml:space="preserve">, </w:t>
      </w:r>
      <w:r w:rsidR="002C4E77">
        <w:t xml:space="preserve">(ahora denominado </w:t>
      </w:r>
      <w:r w:rsidR="0051168D">
        <w:t>Impuesto por Adquisición de Inmuebles</w:t>
      </w:r>
      <w:r w:rsidR="002C4E77">
        <w:t xml:space="preserve">); </w:t>
      </w:r>
      <w:r>
        <w:t xml:space="preserve">sin embargo, </w:t>
      </w:r>
      <w:r w:rsidR="0051168D">
        <w:t xml:space="preserve">al no contar </w:t>
      </w:r>
      <w:r>
        <w:t xml:space="preserve">la </w:t>
      </w:r>
      <w:r w:rsidR="0051168D">
        <w:t>Dirección de Impuestos Inmobiliarios</w:t>
      </w:r>
      <w:r>
        <w:t xml:space="preserve"> con facultades para determinar créditos fiscales, dar las bases de su liquidación o fijarlo en cantidad </w:t>
      </w:r>
      <w:r w:rsidR="00474EAA">
        <w:t>liquida</w:t>
      </w:r>
      <w:r w:rsidR="0051168D">
        <w:t>,</w:t>
      </w:r>
      <w:r>
        <w:t xml:space="preserve"> así como comprobar el cumplimiento de las disposiciones fiscales y la comisión de infracciones, </w:t>
      </w:r>
      <w:r w:rsidR="00474EAA">
        <w:t xml:space="preserve">de acuerdo </w:t>
      </w:r>
      <w:r w:rsidR="0051168D">
        <w:t>con lo dispuesto por e</w:t>
      </w:r>
      <w:r w:rsidR="00474EAA">
        <w:t xml:space="preserve">l artículo 24 de la Ley de Hacienda para los Municipios del Estado de Guanajuato, </w:t>
      </w:r>
      <w:r>
        <w:t xml:space="preserve">es que tampoco cuenta con facultades </w:t>
      </w:r>
      <w:r w:rsidRPr="002C4E77">
        <w:rPr>
          <w:b/>
        </w:rPr>
        <w:t>para rectificar errores aritméticos</w:t>
      </w:r>
      <w:r w:rsidR="00474EAA">
        <w:t>, y con ello, determinar impuestos omitidos, recargos y multas, ya que se insiste, la competencia es una cuestión de orden público, mayor aún en un procedimiento que concluye con una resolución que establece c</w:t>
      </w:r>
      <w:r w:rsidR="00FD689C">
        <w:t>argas fiscales a un particular; dicho artículo 24 dispone lo siguiente: ------------------------------------------------------</w:t>
      </w:r>
    </w:p>
    <w:p w14:paraId="7252F29D" w14:textId="77777777" w:rsidR="002C4E77" w:rsidRDefault="002C4E77" w:rsidP="007963F9">
      <w:pPr>
        <w:pStyle w:val="RESOLUCIONES"/>
      </w:pPr>
    </w:p>
    <w:p w14:paraId="243ADF17" w14:textId="77777777" w:rsidR="00F44459" w:rsidRPr="008C4912" w:rsidRDefault="00F44459" w:rsidP="00474EAA">
      <w:pPr>
        <w:pStyle w:val="TESISYJURIS"/>
      </w:pPr>
      <w:r w:rsidRPr="008C4912">
        <w:rPr>
          <w:b/>
        </w:rPr>
        <w:t>Artículo</w:t>
      </w:r>
      <w:r w:rsidRPr="008C4912">
        <w:t xml:space="preserve"> </w:t>
      </w:r>
      <w:r w:rsidRPr="008C4912">
        <w:rPr>
          <w:b/>
        </w:rPr>
        <w:t>24.</w:t>
      </w:r>
      <w:r w:rsidRPr="008C4912">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018D39FE" w14:textId="77777777" w:rsidR="00F44459" w:rsidRPr="008C4912" w:rsidRDefault="00F44459" w:rsidP="00474EAA">
      <w:pPr>
        <w:pStyle w:val="TESISYJURIS"/>
      </w:pPr>
    </w:p>
    <w:p w14:paraId="21F68770" w14:textId="6CAB0BAB" w:rsidR="00F44459" w:rsidRPr="002D3921" w:rsidRDefault="00F44459" w:rsidP="00474EAA">
      <w:pPr>
        <w:pStyle w:val="TESISYJURIS"/>
        <w:numPr>
          <w:ilvl w:val="0"/>
          <w:numId w:val="45"/>
        </w:numPr>
      </w:pPr>
      <w:r w:rsidRPr="002D3921">
        <w:t>Rectificar los errores aritméticos que aparezcan en las declaraciones;</w:t>
      </w:r>
    </w:p>
    <w:p w14:paraId="09B69614" w14:textId="77777777" w:rsidR="00F44459" w:rsidRPr="008C4912" w:rsidRDefault="00F44459" w:rsidP="00474EAA">
      <w:pPr>
        <w:pStyle w:val="SENTENCIAS"/>
      </w:pPr>
    </w:p>
    <w:p w14:paraId="6A338238" w14:textId="77777777" w:rsidR="000B7F3E" w:rsidRPr="002304C8" w:rsidRDefault="000B7F3E" w:rsidP="000B7F3E">
      <w:pPr>
        <w:spacing w:line="360" w:lineRule="auto"/>
        <w:jc w:val="both"/>
        <w:rPr>
          <w:rFonts w:ascii="Arial Narrow" w:hAnsi="Arial Narrow"/>
          <w:bCs/>
          <w:sz w:val="27"/>
          <w:szCs w:val="27"/>
        </w:rPr>
      </w:pPr>
    </w:p>
    <w:p w14:paraId="423827E8" w14:textId="224445EE" w:rsidR="00F647D1" w:rsidRDefault="00474EAA" w:rsidP="00F647D1">
      <w:pPr>
        <w:pStyle w:val="SENTENCIAS"/>
      </w:pPr>
      <w:r>
        <w:t>Por todo lo antes expuesto, y consid</w:t>
      </w:r>
      <w:r w:rsidR="00F647D1">
        <w:t xml:space="preserve">erando que los actos impugnados, </w:t>
      </w:r>
      <w:r w:rsidR="002C4E77">
        <w:t xml:space="preserve">fueron </w:t>
      </w:r>
      <w:r w:rsidR="00F647D1">
        <w:t xml:space="preserve">emitidos por autoridad incompetente, </w:t>
      </w:r>
      <w:r w:rsidR="00FD689C">
        <w:t xml:space="preserve">es de resolver </w:t>
      </w:r>
      <w:r w:rsidR="002C4E77">
        <w:t xml:space="preserve">que </w:t>
      </w:r>
      <w:r w:rsidR="000B7F3E" w:rsidRPr="002304C8">
        <w:t>no cumple</w:t>
      </w:r>
      <w:r w:rsidR="00F647D1">
        <w:t>n</w:t>
      </w:r>
      <w:r w:rsidR="000B7F3E" w:rsidRPr="002304C8">
        <w:t xml:space="preserve"> con el elemento de validez del acto administrativo previsto en la fracción I del artículo 137 del Código de Procedimiento y Justicia Administrativa para el Estado y los Municipios de Guanajuato, por lo que se configura la causal de ilegalidad prevista en la fracción I del artículo 302 del propio Código, lo que trae consigo </w:t>
      </w:r>
      <w:r w:rsidR="00FD689C">
        <w:t>la</w:t>
      </w:r>
      <w:r w:rsidR="000B7F3E" w:rsidRPr="002304C8">
        <w:t xml:space="preserve"> </w:t>
      </w:r>
      <w:r w:rsidR="00FD689C">
        <w:t xml:space="preserve">vulnerabilidad y </w:t>
      </w:r>
      <w:r w:rsidR="00FD689C" w:rsidRPr="002304C8">
        <w:t>e</w:t>
      </w:r>
      <w:r w:rsidR="00FD689C">
        <w:t>l</w:t>
      </w:r>
      <w:r w:rsidR="00FD689C" w:rsidRPr="002304C8">
        <w:t xml:space="preserve"> perjuicio de la parte actora </w:t>
      </w:r>
      <w:r w:rsidR="00FD689C">
        <w:t>respecto d</w:t>
      </w:r>
      <w:r w:rsidR="00FD689C" w:rsidRPr="002304C8">
        <w:t>el principio de legalidad previsto en el artículo 4º, primer párrafo, de la Ley Orgánica Municipal para el Estado de Guanajuat</w:t>
      </w:r>
      <w:r w:rsidR="00FD689C">
        <w:t xml:space="preserve">o, derivada de la </w:t>
      </w:r>
      <w:r w:rsidR="000B7F3E" w:rsidRPr="002304C8">
        <w:t>ilegalidad</w:t>
      </w:r>
      <w:r w:rsidR="00FD689C">
        <w:t xml:space="preserve"> de los oficios TML/DGI/10512/2015 (Letra T letra M letra L diagonal letra D letra G letra I diagonal uno cero cinco uno dos diagonal dos mil quince), TML/DGI/10513</w:t>
      </w:r>
      <w:r w:rsidR="00FD689C" w:rsidRPr="0045780A">
        <w:t>/2015</w:t>
      </w:r>
      <w:r w:rsidR="00FD689C">
        <w:t xml:space="preserve"> (Letra T letra M letra L diagonal letra D letra G letra I</w:t>
      </w:r>
      <w:r w:rsidR="00FD689C" w:rsidRPr="0045780A">
        <w:t xml:space="preserve"> diagonal uno cero cinco uno </w:t>
      </w:r>
      <w:r w:rsidR="00FD689C">
        <w:t>tres</w:t>
      </w:r>
      <w:r w:rsidR="00FD689C" w:rsidRPr="0045780A">
        <w:t xml:space="preserve"> diagonal dos mil quince)</w:t>
      </w:r>
      <w:r w:rsidR="00FD689C">
        <w:t xml:space="preserve"> y </w:t>
      </w:r>
      <w:r w:rsidR="00FD689C" w:rsidRPr="0045780A">
        <w:t>TML/DGI/1051</w:t>
      </w:r>
      <w:r w:rsidR="00FD689C">
        <w:t>4</w:t>
      </w:r>
      <w:r w:rsidR="00FD689C" w:rsidRPr="0045780A">
        <w:t>/2015</w:t>
      </w:r>
      <w:r w:rsidR="00FD689C">
        <w:t xml:space="preserve"> (Letra T letra M letra L diagonal letra D letra G letra I</w:t>
      </w:r>
      <w:r w:rsidR="00FD689C" w:rsidRPr="0045780A">
        <w:t xml:space="preserve"> diagonal uno cero cinco uno </w:t>
      </w:r>
      <w:r w:rsidR="00FD689C">
        <w:t>cuatro</w:t>
      </w:r>
      <w:r w:rsidR="00FD689C" w:rsidRPr="0045780A">
        <w:t xml:space="preserve"> diagonal dos mil quince)</w:t>
      </w:r>
      <w:r w:rsidR="000B7F3E" w:rsidRPr="002304C8">
        <w:t xml:space="preserve">; por consiguiente, conforme a lo mencionado y además con fundamento en los artículos 300, fracción III, del aludido Código de Procedimiento y Justicia Administrativa, es procedente declarar la nulidad </w:t>
      </w:r>
      <w:r w:rsidR="00F647D1">
        <w:t xml:space="preserve">de los oficios TML/DGI/10512/2015 </w:t>
      </w:r>
      <w:r w:rsidR="00BA4B5F">
        <w:t>(Letra T letra M letra L diagonal letra D letra G letra I</w:t>
      </w:r>
      <w:r w:rsidR="00F647D1">
        <w:t xml:space="preserve"> diagonal uno cero cinco uno dos diagonal dos mil quince), TML/DGI/10513</w:t>
      </w:r>
      <w:r w:rsidR="00F647D1" w:rsidRPr="0045780A">
        <w:t>/2015</w:t>
      </w:r>
      <w:r w:rsidR="00F647D1">
        <w:t xml:space="preserve"> </w:t>
      </w:r>
      <w:r w:rsidR="00BA4B5F">
        <w:t>(Letra T letra M letra L diagonal letra D letra G letra I</w:t>
      </w:r>
      <w:r w:rsidR="00F647D1" w:rsidRPr="0045780A">
        <w:t xml:space="preserve"> diagonal uno cero cinco uno </w:t>
      </w:r>
      <w:r w:rsidR="00F647D1">
        <w:t>tres</w:t>
      </w:r>
      <w:r w:rsidR="00F647D1" w:rsidRPr="0045780A">
        <w:t xml:space="preserve"> diagonal dos mil quince)</w:t>
      </w:r>
      <w:r w:rsidR="00FD689C">
        <w:t xml:space="preserve"> </w:t>
      </w:r>
      <w:r w:rsidR="00F647D1">
        <w:t xml:space="preserve">y </w:t>
      </w:r>
      <w:r w:rsidR="00F647D1" w:rsidRPr="0045780A">
        <w:t>TML/DGI/1051</w:t>
      </w:r>
      <w:r w:rsidR="00F647D1">
        <w:t>4</w:t>
      </w:r>
      <w:r w:rsidR="00F647D1" w:rsidRPr="0045780A">
        <w:t>/2015</w:t>
      </w:r>
      <w:r w:rsidR="00F647D1">
        <w:t xml:space="preserve"> </w:t>
      </w:r>
      <w:r w:rsidR="00BA4B5F">
        <w:t>(Letra T letra M letra L diagonal letra D letra G letra I</w:t>
      </w:r>
      <w:r w:rsidR="00F647D1" w:rsidRPr="0045780A">
        <w:t xml:space="preserve"> diagonal uno cero cinco uno </w:t>
      </w:r>
      <w:r w:rsidR="00F647D1">
        <w:t>cuatro</w:t>
      </w:r>
      <w:r w:rsidR="00F647D1" w:rsidRPr="0045780A">
        <w:t xml:space="preserve"> diagonal dos mil quince)</w:t>
      </w:r>
      <w:r w:rsidR="00FD689C">
        <w:t>. ---</w:t>
      </w:r>
    </w:p>
    <w:p w14:paraId="018C5BD2" w14:textId="7E840E3E" w:rsidR="00F647D1" w:rsidRDefault="00F647D1" w:rsidP="00F647D1">
      <w:pPr>
        <w:pStyle w:val="SENTENCIAS"/>
      </w:pPr>
    </w:p>
    <w:p w14:paraId="7C6A7453" w14:textId="7BA3637B" w:rsidR="00E1257C" w:rsidRPr="00E1257C" w:rsidRDefault="000B7F3E" w:rsidP="00FC56F9">
      <w:pPr>
        <w:pStyle w:val="SENTENCIAS"/>
        <w:rPr>
          <w:lang w:val="es-MX"/>
        </w:rPr>
      </w:pPr>
      <w:r w:rsidRPr="00FC56F9">
        <w:t>Por lo expuesto y además con fundamento en los artículos 243 párrafo segundo y 244 de la Ley Orgánica Municipal para el Estado de Guanajuato; 1 fracción II, 3 párrafo segundo, 287, 298, 299, 300 fracciones III y 302 fracción I, del Código de Procedimiento y Justicia Administrativa para el Estado y los Municipios de Guanajuato</w:t>
      </w:r>
      <w:r w:rsidR="00FC56F9">
        <w:t xml:space="preserve">, </w:t>
      </w:r>
      <w:r w:rsidR="00E1257C" w:rsidRPr="00E1257C">
        <w:rPr>
          <w:lang w:val="es-MX"/>
        </w:rPr>
        <w:t>es de resolverse y se: ----------------------------</w:t>
      </w:r>
      <w:r w:rsidR="00FC56F9">
        <w:rPr>
          <w:lang w:val="es-MX"/>
        </w:rPr>
        <w:t>------------</w:t>
      </w:r>
    </w:p>
    <w:p w14:paraId="1AFD7C01" w14:textId="63FD58B7" w:rsidR="00E1257C" w:rsidRPr="00FA67FA" w:rsidRDefault="00E1257C" w:rsidP="00E1257C">
      <w:pPr>
        <w:spacing w:line="360" w:lineRule="auto"/>
        <w:ind w:firstLine="709"/>
        <w:jc w:val="both"/>
        <w:rPr>
          <w:rFonts w:ascii="Century" w:hAnsi="Century"/>
          <w:sz w:val="20"/>
          <w:szCs w:val="20"/>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FA67FA" w:rsidRDefault="00E1257C" w:rsidP="00E1257C">
      <w:pPr>
        <w:spacing w:line="360" w:lineRule="auto"/>
        <w:ind w:firstLine="709"/>
        <w:jc w:val="both"/>
        <w:rPr>
          <w:rFonts w:ascii="Century" w:hAnsi="Century"/>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2923B4" w:rsidRDefault="00E1257C" w:rsidP="00E1257C">
      <w:pPr>
        <w:spacing w:line="360" w:lineRule="auto"/>
        <w:ind w:firstLine="709"/>
        <w:jc w:val="both"/>
        <w:rPr>
          <w:rFonts w:ascii="Century" w:hAnsi="Century"/>
          <w:sz w:val="20"/>
          <w:szCs w:val="20"/>
          <w:lang w:val="es-MX"/>
        </w:rPr>
      </w:pPr>
    </w:p>
    <w:p w14:paraId="3D48662C" w14:textId="64A97C8B"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w:t>
      </w:r>
      <w:r w:rsidR="00FC56F9">
        <w:rPr>
          <w:rFonts w:ascii="Century" w:hAnsi="Century"/>
          <w:lang w:val="es-MX"/>
        </w:rPr>
        <w:t xml:space="preserve"> </w:t>
      </w:r>
      <w:r w:rsidRPr="00E1257C">
        <w:rPr>
          <w:rFonts w:ascii="Century" w:hAnsi="Century"/>
          <w:lang w:val="es-MX"/>
        </w:rPr>
        <w:t>l</w:t>
      </w:r>
      <w:r w:rsidR="00FC56F9">
        <w:rPr>
          <w:rFonts w:ascii="Century" w:hAnsi="Century"/>
          <w:lang w:val="es-MX"/>
        </w:rPr>
        <w:t>os actos impugnados</w:t>
      </w:r>
      <w:r w:rsidRPr="00E1257C">
        <w:rPr>
          <w:rFonts w:ascii="Century" w:hAnsi="Century"/>
          <w:lang w:val="es-MX"/>
        </w:rPr>
        <w:t xml:space="preserve">. </w:t>
      </w:r>
      <w:r w:rsidR="00FC56F9">
        <w:rPr>
          <w:rFonts w:ascii="Century" w:hAnsi="Century"/>
          <w:lang w:val="es-MX"/>
        </w:rPr>
        <w:t>------------</w:t>
      </w:r>
      <w:r w:rsidRPr="00E1257C">
        <w:rPr>
          <w:rFonts w:ascii="Century" w:hAnsi="Century"/>
          <w:lang w:val="es-MX"/>
        </w:rPr>
        <w:t>---------------------</w:t>
      </w:r>
    </w:p>
    <w:p w14:paraId="1D847736" w14:textId="77777777" w:rsidR="00E1257C" w:rsidRPr="002923B4" w:rsidRDefault="00E1257C" w:rsidP="00E1257C">
      <w:pPr>
        <w:spacing w:line="360" w:lineRule="auto"/>
        <w:ind w:firstLine="709"/>
        <w:jc w:val="both"/>
        <w:rPr>
          <w:rFonts w:ascii="Century" w:hAnsi="Century"/>
          <w:b/>
          <w:bCs/>
          <w:iCs/>
          <w:sz w:val="20"/>
          <w:szCs w:val="20"/>
          <w:lang w:val="es-MX"/>
        </w:rPr>
      </w:pPr>
    </w:p>
    <w:p w14:paraId="7DDE0231" w14:textId="0E45DE86" w:rsidR="00E1257C" w:rsidRPr="00E1257C" w:rsidRDefault="00E1257C" w:rsidP="00B15E40">
      <w:pPr>
        <w:pStyle w:val="RESOLUCIONES"/>
      </w:pPr>
      <w:r w:rsidRPr="00E1257C">
        <w:rPr>
          <w:b/>
          <w:bCs/>
          <w:iCs/>
        </w:rPr>
        <w:t xml:space="preserve">TERCERO. </w:t>
      </w:r>
      <w:r w:rsidRPr="00E1257C">
        <w:t xml:space="preserve">Se decreta </w:t>
      </w:r>
      <w:r w:rsidRPr="00E1257C">
        <w:rPr>
          <w:bCs/>
        </w:rPr>
        <w:t>la</w:t>
      </w:r>
      <w:r w:rsidRPr="00E1257C">
        <w:rPr>
          <w:b/>
          <w:bCs/>
        </w:rPr>
        <w:t xml:space="preserve"> nulidad </w:t>
      </w:r>
      <w:r w:rsidR="00FD689C">
        <w:rPr>
          <w:b/>
          <w:bCs/>
        </w:rPr>
        <w:t xml:space="preserve">de los oficios </w:t>
      </w:r>
      <w:r w:rsidR="00FD689C" w:rsidRPr="00FD689C">
        <w:rPr>
          <w:bCs/>
        </w:rPr>
        <w:t xml:space="preserve">números </w:t>
      </w:r>
      <w:r w:rsidR="00B15E40">
        <w:t xml:space="preserve">TML/DGI/10512/2015 </w:t>
      </w:r>
      <w:r w:rsidR="00BA4B5F">
        <w:t>(Letra T letra M letra L diagonal letra D letra G letra I</w:t>
      </w:r>
      <w:r w:rsidR="00B15E40">
        <w:t xml:space="preserve"> diagonal uno cero cinco uno dos diagonal dos mil quince), TML/DGI/10513</w:t>
      </w:r>
      <w:r w:rsidR="00B15E40" w:rsidRPr="0045780A">
        <w:t>/2015</w:t>
      </w:r>
      <w:r w:rsidR="00B15E40">
        <w:t xml:space="preserve"> </w:t>
      </w:r>
      <w:r w:rsidR="00BA4B5F">
        <w:t>(Letra T letra M letra L diagonal letra D letra G letra I</w:t>
      </w:r>
      <w:r w:rsidR="00B15E40" w:rsidRPr="0045780A">
        <w:t xml:space="preserve"> diagonal uno cero cinco uno </w:t>
      </w:r>
      <w:r w:rsidR="00B15E40">
        <w:t>tres</w:t>
      </w:r>
      <w:r w:rsidR="00B15E40" w:rsidRPr="0045780A">
        <w:t xml:space="preserve"> diagonal dos mil quince)</w:t>
      </w:r>
      <w:r w:rsidR="00FD689C">
        <w:t xml:space="preserve"> </w:t>
      </w:r>
      <w:r w:rsidR="00B15E40">
        <w:t xml:space="preserve">y </w:t>
      </w:r>
      <w:r w:rsidR="00B15E40" w:rsidRPr="0045780A">
        <w:t>TML/DGI/1051</w:t>
      </w:r>
      <w:r w:rsidR="00B15E40">
        <w:t>4</w:t>
      </w:r>
      <w:r w:rsidR="00B15E40" w:rsidRPr="0045780A">
        <w:t>/2015</w:t>
      </w:r>
      <w:r w:rsidR="00B15E40">
        <w:t xml:space="preserve"> </w:t>
      </w:r>
      <w:r w:rsidR="00BA4B5F">
        <w:t>(Letra T letra M letra L diagonal letra D letra G letra I</w:t>
      </w:r>
      <w:r w:rsidR="00B15E40" w:rsidRPr="0045780A">
        <w:t xml:space="preserve"> diagonal uno cero cinco uno </w:t>
      </w:r>
      <w:r w:rsidR="00B15E40">
        <w:t>cuatro</w:t>
      </w:r>
      <w:r w:rsidR="00B15E40" w:rsidRPr="0045780A">
        <w:t xml:space="preserve"> diagonal dos mil quince)</w:t>
      </w:r>
      <w:r w:rsidRPr="00E1257C">
        <w:t>; ello conforme a las consideraciones lógicas y jurídicas expresadas en el Considerando Sexto de esta sentencia. -</w:t>
      </w:r>
      <w:r w:rsidR="00FE76EB">
        <w:t>-</w:t>
      </w:r>
      <w:r w:rsidR="004A5B65">
        <w:t>--</w:t>
      </w:r>
      <w:r w:rsidR="00F43DE9">
        <w:t>---------------------------</w:t>
      </w:r>
      <w:r w:rsidR="00FD689C">
        <w:t>--------------------------------</w:t>
      </w:r>
      <w:r w:rsidR="00F43DE9">
        <w:t>-----------------------</w:t>
      </w:r>
    </w:p>
    <w:p w14:paraId="49071F1E" w14:textId="77777777" w:rsidR="00E1257C" w:rsidRPr="002923B4" w:rsidRDefault="00E1257C" w:rsidP="00FE76EB">
      <w:pPr>
        <w:pStyle w:val="SENTENCIAS"/>
        <w:rPr>
          <w:b/>
          <w:bCs/>
          <w:iCs/>
          <w:sz w:val="20"/>
          <w:szCs w:val="20"/>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2923B4" w:rsidRDefault="00E1257C" w:rsidP="00E1257C">
      <w:pPr>
        <w:spacing w:line="360" w:lineRule="auto"/>
        <w:ind w:firstLine="709"/>
        <w:jc w:val="both"/>
        <w:rPr>
          <w:rFonts w:ascii="Century" w:hAnsi="Century"/>
          <w:sz w:val="20"/>
          <w:szCs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2923B4" w:rsidRDefault="00E1257C" w:rsidP="00E1257C">
      <w:pPr>
        <w:spacing w:line="360" w:lineRule="auto"/>
        <w:ind w:firstLine="709"/>
        <w:jc w:val="both"/>
        <w:rPr>
          <w:rFonts w:ascii="Century" w:hAnsi="Century"/>
          <w:sz w:val="20"/>
          <w:szCs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63722">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6C64C" w14:textId="77777777" w:rsidR="002C58A4" w:rsidRDefault="002C58A4">
      <w:r>
        <w:separator/>
      </w:r>
    </w:p>
  </w:endnote>
  <w:endnote w:type="continuationSeparator" w:id="0">
    <w:p w14:paraId="43D6A738" w14:textId="77777777" w:rsidR="002C58A4" w:rsidRDefault="002C58A4">
      <w:r>
        <w:continuationSeparator/>
      </w:r>
    </w:p>
  </w:endnote>
  <w:endnote w:type="continuationNotice" w:id="1">
    <w:p w14:paraId="7020F2BE" w14:textId="77777777" w:rsidR="002C58A4" w:rsidRDefault="002C5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4ECBFAC" w:rsidR="00430527" w:rsidRPr="007F7AC8" w:rsidRDefault="0043052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C58A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C58A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430527" w:rsidRPr="007F7AC8" w:rsidRDefault="0043052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5D6DA" w14:textId="77777777" w:rsidR="002C58A4" w:rsidRDefault="002C58A4">
      <w:r>
        <w:separator/>
      </w:r>
    </w:p>
  </w:footnote>
  <w:footnote w:type="continuationSeparator" w:id="0">
    <w:p w14:paraId="5BF028CB" w14:textId="77777777" w:rsidR="002C58A4" w:rsidRDefault="002C58A4">
      <w:r>
        <w:continuationSeparator/>
      </w:r>
    </w:p>
  </w:footnote>
  <w:footnote w:type="continuationNotice" w:id="1">
    <w:p w14:paraId="3F1BF808" w14:textId="77777777" w:rsidR="002C58A4" w:rsidRDefault="002C58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430527" w:rsidRDefault="00430527">
    <w:pPr>
      <w:pStyle w:val="Encabezado"/>
      <w:framePr w:wrap="around" w:vAnchor="text" w:hAnchor="margin" w:xAlign="center" w:y="1"/>
      <w:rPr>
        <w:rStyle w:val="Nmerodepgina"/>
      </w:rPr>
    </w:pPr>
  </w:p>
  <w:p w14:paraId="3ADE87C8" w14:textId="77777777" w:rsidR="00430527" w:rsidRDefault="0043052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430527" w:rsidRDefault="00430527" w:rsidP="007F7AC8">
    <w:pPr>
      <w:pStyle w:val="Encabezado"/>
      <w:jc w:val="right"/>
      <w:rPr>
        <w:color w:val="7F7F7F" w:themeColor="text1" w:themeTint="80"/>
      </w:rPr>
    </w:pPr>
  </w:p>
  <w:p w14:paraId="1B439560" w14:textId="77777777" w:rsidR="00430527" w:rsidRDefault="00430527" w:rsidP="007F7AC8">
    <w:pPr>
      <w:pStyle w:val="Encabezado"/>
      <w:jc w:val="right"/>
      <w:rPr>
        <w:color w:val="7F7F7F" w:themeColor="text1" w:themeTint="80"/>
      </w:rPr>
    </w:pPr>
  </w:p>
  <w:p w14:paraId="0D234A56" w14:textId="77777777" w:rsidR="00430527" w:rsidRDefault="00430527" w:rsidP="007F7AC8">
    <w:pPr>
      <w:pStyle w:val="Encabezado"/>
      <w:jc w:val="right"/>
      <w:rPr>
        <w:color w:val="7F7F7F" w:themeColor="text1" w:themeTint="80"/>
      </w:rPr>
    </w:pPr>
  </w:p>
  <w:p w14:paraId="199CFC4D" w14:textId="77777777" w:rsidR="00430527" w:rsidRDefault="00430527" w:rsidP="007F7AC8">
    <w:pPr>
      <w:pStyle w:val="Encabezado"/>
      <w:jc w:val="right"/>
      <w:rPr>
        <w:color w:val="7F7F7F" w:themeColor="text1" w:themeTint="80"/>
      </w:rPr>
    </w:pPr>
  </w:p>
  <w:p w14:paraId="324AD5B9" w14:textId="5040C331" w:rsidR="00430527" w:rsidRDefault="00430527" w:rsidP="007F7AC8">
    <w:pPr>
      <w:pStyle w:val="Encabezado"/>
      <w:jc w:val="right"/>
    </w:pPr>
    <w:r>
      <w:rPr>
        <w:color w:val="7F7F7F" w:themeColor="text1" w:themeTint="80"/>
      </w:rPr>
      <w:t>Expediente Número 0904/2015-JN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430527" w:rsidRDefault="00430527">
    <w:pPr>
      <w:pStyle w:val="Encabezado"/>
      <w:jc w:val="right"/>
      <w:rPr>
        <w:color w:val="8496B0" w:themeColor="text2" w:themeTint="99"/>
        <w:lang w:val="es-ES"/>
      </w:rPr>
    </w:pPr>
  </w:p>
  <w:p w14:paraId="55B9103D" w14:textId="77777777" w:rsidR="00430527" w:rsidRDefault="00430527">
    <w:pPr>
      <w:pStyle w:val="Encabezado"/>
      <w:jc w:val="right"/>
      <w:rPr>
        <w:color w:val="8496B0" w:themeColor="text2" w:themeTint="99"/>
        <w:lang w:val="es-ES"/>
      </w:rPr>
    </w:pPr>
  </w:p>
  <w:p w14:paraId="46CC684C" w14:textId="77777777" w:rsidR="00430527" w:rsidRDefault="00430527">
    <w:pPr>
      <w:pStyle w:val="Encabezado"/>
      <w:jc w:val="right"/>
      <w:rPr>
        <w:color w:val="8496B0" w:themeColor="text2" w:themeTint="99"/>
        <w:lang w:val="es-ES"/>
      </w:rPr>
    </w:pPr>
  </w:p>
  <w:p w14:paraId="12B0032A" w14:textId="77777777" w:rsidR="00430527" w:rsidRDefault="00430527">
    <w:pPr>
      <w:pStyle w:val="Encabezado"/>
      <w:jc w:val="right"/>
      <w:rPr>
        <w:color w:val="8496B0" w:themeColor="text2" w:themeTint="99"/>
        <w:lang w:val="es-ES"/>
      </w:rPr>
    </w:pPr>
  </w:p>
  <w:p w14:paraId="389A42BC" w14:textId="77777777" w:rsidR="00430527" w:rsidRDefault="00430527">
    <w:pPr>
      <w:pStyle w:val="Encabezado"/>
      <w:jc w:val="right"/>
      <w:rPr>
        <w:color w:val="8496B0" w:themeColor="text2" w:themeTint="99"/>
        <w:lang w:val="es-ES"/>
      </w:rPr>
    </w:pPr>
  </w:p>
  <w:p w14:paraId="4897847F" w14:textId="40DB5009" w:rsidR="00430527" w:rsidRDefault="0043052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3EF0FBF"/>
    <w:multiLevelType w:val="hybridMultilevel"/>
    <w:tmpl w:val="A3FA2BF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3D13F1"/>
    <w:multiLevelType w:val="hybridMultilevel"/>
    <w:tmpl w:val="A7EEBE50"/>
    <w:lvl w:ilvl="0" w:tplc="34E8390A">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D745A2"/>
    <w:multiLevelType w:val="hybridMultilevel"/>
    <w:tmpl w:val="ECAE551A"/>
    <w:lvl w:ilvl="0" w:tplc="C4AA1E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2311E02"/>
    <w:multiLevelType w:val="hybridMultilevel"/>
    <w:tmpl w:val="C4045B0C"/>
    <w:lvl w:ilvl="0" w:tplc="DA00D4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5A14EE"/>
    <w:multiLevelType w:val="hybridMultilevel"/>
    <w:tmpl w:val="2332AF8C"/>
    <w:lvl w:ilvl="0" w:tplc="82EE8B7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411379"/>
    <w:multiLevelType w:val="hybridMultilevel"/>
    <w:tmpl w:val="9190E7C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C2A5868"/>
    <w:multiLevelType w:val="hybridMultilevel"/>
    <w:tmpl w:val="D286F15A"/>
    <w:lvl w:ilvl="0" w:tplc="EBB41378">
      <w:start w:val="1"/>
      <w:numFmt w:val="lowerLetter"/>
      <w:lvlText w:val="%1)"/>
      <w:lvlJc w:val="center"/>
      <w:pPr>
        <w:ind w:left="1429" w:hanging="360"/>
      </w:pPr>
      <w:rPr>
        <w:rFonts w:cs="Times New Roman" w:hint="default"/>
        <w:b/>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D94D02"/>
    <w:multiLevelType w:val="hybridMultilevel"/>
    <w:tmpl w:val="B338F030"/>
    <w:lvl w:ilvl="0" w:tplc="37DC767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47665D3A"/>
    <w:multiLevelType w:val="hybridMultilevel"/>
    <w:tmpl w:val="EFB80B18"/>
    <w:lvl w:ilvl="0" w:tplc="F14C816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81E5E0F"/>
    <w:multiLevelType w:val="hybridMultilevel"/>
    <w:tmpl w:val="AE36C536"/>
    <w:lvl w:ilvl="0" w:tplc="DF36AAB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0A1076A"/>
    <w:multiLevelType w:val="hybridMultilevel"/>
    <w:tmpl w:val="1BD64BD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5DA55BD2"/>
    <w:multiLevelType w:val="hybridMultilevel"/>
    <w:tmpl w:val="62107F3C"/>
    <w:lvl w:ilvl="0" w:tplc="FF3E9C0E">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6A26D95"/>
    <w:multiLevelType w:val="hybridMultilevel"/>
    <w:tmpl w:val="7F70761A"/>
    <w:lvl w:ilvl="0" w:tplc="3AD8D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8EA7DDE"/>
    <w:multiLevelType w:val="hybridMultilevel"/>
    <w:tmpl w:val="790637FE"/>
    <w:lvl w:ilvl="0" w:tplc="7F6A81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2"/>
  </w:num>
  <w:num w:numId="2">
    <w:abstractNumId w:val="39"/>
  </w:num>
  <w:num w:numId="3">
    <w:abstractNumId w:val="23"/>
  </w:num>
  <w:num w:numId="4">
    <w:abstractNumId w:val="10"/>
  </w:num>
  <w:num w:numId="5">
    <w:abstractNumId w:val="1"/>
  </w:num>
  <w:num w:numId="6">
    <w:abstractNumId w:val="5"/>
  </w:num>
  <w:num w:numId="7">
    <w:abstractNumId w:val="18"/>
  </w:num>
  <w:num w:numId="8">
    <w:abstractNumId w:val="40"/>
  </w:num>
  <w:num w:numId="9">
    <w:abstractNumId w:val="43"/>
  </w:num>
  <w:num w:numId="10">
    <w:abstractNumId w:val="22"/>
  </w:num>
  <w:num w:numId="11">
    <w:abstractNumId w:val="7"/>
  </w:num>
  <w:num w:numId="12">
    <w:abstractNumId w:val="34"/>
  </w:num>
  <w:num w:numId="13">
    <w:abstractNumId w:val="8"/>
  </w:num>
  <w:num w:numId="14">
    <w:abstractNumId w:val="27"/>
  </w:num>
  <w:num w:numId="15">
    <w:abstractNumId w:val="26"/>
  </w:num>
  <w:num w:numId="16">
    <w:abstractNumId w:val="19"/>
  </w:num>
  <w:num w:numId="17">
    <w:abstractNumId w:val="16"/>
  </w:num>
  <w:num w:numId="18">
    <w:abstractNumId w:val="14"/>
  </w:num>
  <w:num w:numId="19">
    <w:abstractNumId w:val="17"/>
  </w:num>
  <w:num w:numId="20">
    <w:abstractNumId w:val="24"/>
  </w:num>
  <w:num w:numId="21">
    <w:abstractNumId w:val="33"/>
  </w:num>
  <w:num w:numId="22">
    <w:abstractNumId w:val="32"/>
  </w:num>
  <w:num w:numId="23">
    <w:abstractNumId w:val="41"/>
  </w:num>
  <w:num w:numId="24">
    <w:abstractNumId w:val="15"/>
  </w:num>
  <w:num w:numId="25">
    <w:abstractNumId w:val="38"/>
  </w:num>
  <w:num w:numId="26">
    <w:abstractNumId w:val="21"/>
  </w:num>
  <w:num w:numId="27">
    <w:abstractNumId w:val="3"/>
  </w:num>
  <w:num w:numId="28">
    <w:abstractNumId w:val="0"/>
  </w:num>
  <w:num w:numId="29">
    <w:abstractNumId w:val="4"/>
  </w:num>
  <w:num w:numId="30">
    <w:abstractNumId w:val="13"/>
  </w:num>
  <w:num w:numId="31">
    <w:abstractNumId w:val="35"/>
  </w:num>
  <w:num w:numId="32">
    <w:abstractNumId w:val="25"/>
  </w:num>
  <w:num w:numId="33">
    <w:abstractNumId w:val="11"/>
  </w:num>
  <w:num w:numId="34">
    <w:abstractNumId w:val="29"/>
  </w:num>
  <w:num w:numId="35">
    <w:abstractNumId w:val="37"/>
  </w:num>
  <w:num w:numId="36">
    <w:abstractNumId w:val="6"/>
  </w:num>
  <w:num w:numId="37">
    <w:abstractNumId w:val="45"/>
  </w:num>
  <w:num w:numId="38">
    <w:abstractNumId w:val="42"/>
  </w:num>
  <w:num w:numId="39">
    <w:abstractNumId w:val="31"/>
  </w:num>
  <w:num w:numId="40">
    <w:abstractNumId w:val="9"/>
  </w:num>
  <w:num w:numId="41">
    <w:abstractNumId w:val="2"/>
  </w:num>
  <w:num w:numId="42">
    <w:abstractNumId w:val="36"/>
  </w:num>
  <w:num w:numId="43">
    <w:abstractNumId w:val="20"/>
  </w:num>
  <w:num w:numId="44">
    <w:abstractNumId w:val="28"/>
  </w:num>
  <w:num w:numId="45">
    <w:abstractNumId w:val="4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075E"/>
    <w:rsid w:val="00022CC9"/>
    <w:rsid w:val="00025321"/>
    <w:rsid w:val="0002764D"/>
    <w:rsid w:val="0003096C"/>
    <w:rsid w:val="00030FD2"/>
    <w:rsid w:val="00043142"/>
    <w:rsid w:val="00052DD8"/>
    <w:rsid w:val="00060865"/>
    <w:rsid w:val="00062BF4"/>
    <w:rsid w:val="000637EE"/>
    <w:rsid w:val="00066D67"/>
    <w:rsid w:val="00067B44"/>
    <w:rsid w:val="000702CB"/>
    <w:rsid w:val="00070FE7"/>
    <w:rsid w:val="0007125F"/>
    <w:rsid w:val="00071434"/>
    <w:rsid w:val="000717EA"/>
    <w:rsid w:val="00072D38"/>
    <w:rsid w:val="00074213"/>
    <w:rsid w:val="00074853"/>
    <w:rsid w:val="00074CB3"/>
    <w:rsid w:val="00075050"/>
    <w:rsid w:val="00075E2B"/>
    <w:rsid w:val="000774D1"/>
    <w:rsid w:val="00081D25"/>
    <w:rsid w:val="000825C4"/>
    <w:rsid w:val="00082CE8"/>
    <w:rsid w:val="000853EE"/>
    <w:rsid w:val="000917DD"/>
    <w:rsid w:val="00092BB4"/>
    <w:rsid w:val="00094F5C"/>
    <w:rsid w:val="000A5412"/>
    <w:rsid w:val="000A6D67"/>
    <w:rsid w:val="000B1628"/>
    <w:rsid w:val="000B23A5"/>
    <w:rsid w:val="000B2406"/>
    <w:rsid w:val="000B39E9"/>
    <w:rsid w:val="000B434E"/>
    <w:rsid w:val="000B716B"/>
    <w:rsid w:val="000B78AF"/>
    <w:rsid w:val="000B7F3E"/>
    <w:rsid w:val="000C00BE"/>
    <w:rsid w:val="000C1D90"/>
    <w:rsid w:val="000D0FC3"/>
    <w:rsid w:val="000D33E1"/>
    <w:rsid w:val="000D3FF5"/>
    <w:rsid w:val="000D58AB"/>
    <w:rsid w:val="000D5A23"/>
    <w:rsid w:val="000E485C"/>
    <w:rsid w:val="000E5042"/>
    <w:rsid w:val="000E5CDC"/>
    <w:rsid w:val="000E716D"/>
    <w:rsid w:val="000E73E5"/>
    <w:rsid w:val="000E7416"/>
    <w:rsid w:val="000E75A9"/>
    <w:rsid w:val="000F6226"/>
    <w:rsid w:val="000F6283"/>
    <w:rsid w:val="000F758B"/>
    <w:rsid w:val="00102907"/>
    <w:rsid w:val="00104D04"/>
    <w:rsid w:val="00106C23"/>
    <w:rsid w:val="00107D89"/>
    <w:rsid w:val="00110BF8"/>
    <w:rsid w:val="001124AC"/>
    <w:rsid w:val="00112D4E"/>
    <w:rsid w:val="00114ECE"/>
    <w:rsid w:val="00115847"/>
    <w:rsid w:val="0011662F"/>
    <w:rsid w:val="0012091B"/>
    <w:rsid w:val="00120F28"/>
    <w:rsid w:val="00124A1C"/>
    <w:rsid w:val="001251EE"/>
    <w:rsid w:val="001266D5"/>
    <w:rsid w:val="00130106"/>
    <w:rsid w:val="001349D3"/>
    <w:rsid w:val="001349D9"/>
    <w:rsid w:val="001350F2"/>
    <w:rsid w:val="001429A7"/>
    <w:rsid w:val="00146807"/>
    <w:rsid w:val="00151CED"/>
    <w:rsid w:val="001539CA"/>
    <w:rsid w:val="0015595F"/>
    <w:rsid w:val="00155F67"/>
    <w:rsid w:val="00160C6A"/>
    <w:rsid w:val="0016343E"/>
    <w:rsid w:val="00164CFF"/>
    <w:rsid w:val="0016502B"/>
    <w:rsid w:val="001673CE"/>
    <w:rsid w:val="00167954"/>
    <w:rsid w:val="00173993"/>
    <w:rsid w:val="001746EF"/>
    <w:rsid w:val="0018012D"/>
    <w:rsid w:val="00180C8D"/>
    <w:rsid w:val="00190D0F"/>
    <w:rsid w:val="00191F48"/>
    <w:rsid w:val="001A0E0F"/>
    <w:rsid w:val="001A3C9D"/>
    <w:rsid w:val="001A4DFA"/>
    <w:rsid w:val="001A4EE8"/>
    <w:rsid w:val="001A7300"/>
    <w:rsid w:val="001B0A47"/>
    <w:rsid w:val="001B2937"/>
    <w:rsid w:val="001B6AC3"/>
    <w:rsid w:val="001C0547"/>
    <w:rsid w:val="001C117B"/>
    <w:rsid w:val="001C137F"/>
    <w:rsid w:val="001C5414"/>
    <w:rsid w:val="001C6955"/>
    <w:rsid w:val="001C7742"/>
    <w:rsid w:val="001D0AFA"/>
    <w:rsid w:val="001D1668"/>
    <w:rsid w:val="001D1AD8"/>
    <w:rsid w:val="001D458C"/>
    <w:rsid w:val="001E2462"/>
    <w:rsid w:val="001E2CC4"/>
    <w:rsid w:val="001E394F"/>
    <w:rsid w:val="001E446F"/>
    <w:rsid w:val="001E4E34"/>
    <w:rsid w:val="001E7A4A"/>
    <w:rsid w:val="001F0158"/>
    <w:rsid w:val="001F1152"/>
    <w:rsid w:val="001F3605"/>
    <w:rsid w:val="001F5FBE"/>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36D84"/>
    <w:rsid w:val="002405CE"/>
    <w:rsid w:val="0024072A"/>
    <w:rsid w:val="00240D3C"/>
    <w:rsid w:val="002411A0"/>
    <w:rsid w:val="00246949"/>
    <w:rsid w:val="00247E84"/>
    <w:rsid w:val="0025224F"/>
    <w:rsid w:val="00254D91"/>
    <w:rsid w:val="00254DA8"/>
    <w:rsid w:val="00255BEC"/>
    <w:rsid w:val="00266B1D"/>
    <w:rsid w:val="0027418F"/>
    <w:rsid w:val="002759E9"/>
    <w:rsid w:val="00280ED2"/>
    <w:rsid w:val="00282624"/>
    <w:rsid w:val="00285905"/>
    <w:rsid w:val="00291CC5"/>
    <w:rsid w:val="002923B4"/>
    <w:rsid w:val="00293193"/>
    <w:rsid w:val="00297106"/>
    <w:rsid w:val="002A1F9E"/>
    <w:rsid w:val="002A2D85"/>
    <w:rsid w:val="002A30B6"/>
    <w:rsid w:val="002A3DE2"/>
    <w:rsid w:val="002A47C0"/>
    <w:rsid w:val="002A5E85"/>
    <w:rsid w:val="002B06E3"/>
    <w:rsid w:val="002B2F1A"/>
    <w:rsid w:val="002B3DD6"/>
    <w:rsid w:val="002B552A"/>
    <w:rsid w:val="002B579F"/>
    <w:rsid w:val="002B6378"/>
    <w:rsid w:val="002B6B16"/>
    <w:rsid w:val="002B7887"/>
    <w:rsid w:val="002C1116"/>
    <w:rsid w:val="002C1DCC"/>
    <w:rsid w:val="002C4E77"/>
    <w:rsid w:val="002C58A4"/>
    <w:rsid w:val="002C5CBF"/>
    <w:rsid w:val="002C60AB"/>
    <w:rsid w:val="002D1758"/>
    <w:rsid w:val="002D4B48"/>
    <w:rsid w:val="002D598B"/>
    <w:rsid w:val="002D5FFE"/>
    <w:rsid w:val="002E105E"/>
    <w:rsid w:val="002E14D4"/>
    <w:rsid w:val="002E3498"/>
    <w:rsid w:val="002E4C45"/>
    <w:rsid w:val="002F2BF4"/>
    <w:rsid w:val="002F4D5A"/>
    <w:rsid w:val="002F5B78"/>
    <w:rsid w:val="00300C6C"/>
    <w:rsid w:val="003037B7"/>
    <w:rsid w:val="00305D11"/>
    <w:rsid w:val="00307A46"/>
    <w:rsid w:val="00307D72"/>
    <w:rsid w:val="003151A5"/>
    <w:rsid w:val="0031618E"/>
    <w:rsid w:val="0032074B"/>
    <w:rsid w:val="00320C8C"/>
    <w:rsid w:val="00324166"/>
    <w:rsid w:val="003244CB"/>
    <w:rsid w:val="00324DF7"/>
    <w:rsid w:val="003275CF"/>
    <w:rsid w:val="003279BA"/>
    <w:rsid w:val="00331A25"/>
    <w:rsid w:val="00333A35"/>
    <w:rsid w:val="00336B61"/>
    <w:rsid w:val="00340CD4"/>
    <w:rsid w:val="003449FF"/>
    <w:rsid w:val="003500D9"/>
    <w:rsid w:val="003513FE"/>
    <w:rsid w:val="0035377D"/>
    <w:rsid w:val="00354895"/>
    <w:rsid w:val="00356CBF"/>
    <w:rsid w:val="00357443"/>
    <w:rsid w:val="0036467B"/>
    <w:rsid w:val="003657A7"/>
    <w:rsid w:val="003660A5"/>
    <w:rsid w:val="003722A5"/>
    <w:rsid w:val="00372E14"/>
    <w:rsid w:val="00373680"/>
    <w:rsid w:val="00373723"/>
    <w:rsid w:val="00376688"/>
    <w:rsid w:val="00380546"/>
    <w:rsid w:val="00380775"/>
    <w:rsid w:val="00393E4F"/>
    <w:rsid w:val="003950A3"/>
    <w:rsid w:val="003968A9"/>
    <w:rsid w:val="0039754E"/>
    <w:rsid w:val="003A62C2"/>
    <w:rsid w:val="003A6BA9"/>
    <w:rsid w:val="003B0F29"/>
    <w:rsid w:val="003B2EF4"/>
    <w:rsid w:val="003B3307"/>
    <w:rsid w:val="003B3ED3"/>
    <w:rsid w:val="003B48DD"/>
    <w:rsid w:val="003B4AE4"/>
    <w:rsid w:val="003B5C86"/>
    <w:rsid w:val="003C1129"/>
    <w:rsid w:val="003C2D36"/>
    <w:rsid w:val="003C47D7"/>
    <w:rsid w:val="003C498B"/>
    <w:rsid w:val="003C591D"/>
    <w:rsid w:val="003C5D8F"/>
    <w:rsid w:val="003C68F9"/>
    <w:rsid w:val="003C7B7B"/>
    <w:rsid w:val="003D05A2"/>
    <w:rsid w:val="003D333E"/>
    <w:rsid w:val="003D37C8"/>
    <w:rsid w:val="003D4734"/>
    <w:rsid w:val="003E3D52"/>
    <w:rsid w:val="003E5D2F"/>
    <w:rsid w:val="003E6DB7"/>
    <w:rsid w:val="003F0547"/>
    <w:rsid w:val="00400711"/>
    <w:rsid w:val="00411F83"/>
    <w:rsid w:val="004168D4"/>
    <w:rsid w:val="00423580"/>
    <w:rsid w:val="00430527"/>
    <w:rsid w:val="0043378D"/>
    <w:rsid w:val="0043415F"/>
    <w:rsid w:val="0043417A"/>
    <w:rsid w:val="00440875"/>
    <w:rsid w:val="00444980"/>
    <w:rsid w:val="00444CB8"/>
    <w:rsid w:val="00450AF7"/>
    <w:rsid w:val="00451F65"/>
    <w:rsid w:val="004528E4"/>
    <w:rsid w:val="00456765"/>
    <w:rsid w:val="0045780A"/>
    <w:rsid w:val="00460741"/>
    <w:rsid w:val="00463516"/>
    <w:rsid w:val="0047283F"/>
    <w:rsid w:val="00472EED"/>
    <w:rsid w:val="00474EAA"/>
    <w:rsid w:val="00481EB2"/>
    <w:rsid w:val="00483FCB"/>
    <w:rsid w:val="00486EEF"/>
    <w:rsid w:val="0049390A"/>
    <w:rsid w:val="004954EB"/>
    <w:rsid w:val="00495F9A"/>
    <w:rsid w:val="00496D17"/>
    <w:rsid w:val="004A0EB9"/>
    <w:rsid w:val="004A1DA7"/>
    <w:rsid w:val="004A2F90"/>
    <w:rsid w:val="004A3060"/>
    <w:rsid w:val="004A4F88"/>
    <w:rsid w:val="004A5B65"/>
    <w:rsid w:val="004A6387"/>
    <w:rsid w:val="004A7BEE"/>
    <w:rsid w:val="004B2715"/>
    <w:rsid w:val="004B27AF"/>
    <w:rsid w:val="004B2BF4"/>
    <w:rsid w:val="004B5DDB"/>
    <w:rsid w:val="004B658C"/>
    <w:rsid w:val="004B65B6"/>
    <w:rsid w:val="004B7DF4"/>
    <w:rsid w:val="004C085D"/>
    <w:rsid w:val="004C54EE"/>
    <w:rsid w:val="004C7223"/>
    <w:rsid w:val="004C73FF"/>
    <w:rsid w:val="004D01C0"/>
    <w:rsid w:val="004D2B79"/>
    <w:rsid w:val="004D365E"/>
    <w:rsid w:val="004E2E47"/>
    <w:rsid w:val="004E2F6B"/>
    <w:rsid w:val="004E46EE"/>
    <w:rsid w:val="004E5D93"/>
    <w:rsid w:val="004E6F5C"/>
    <w:rsid w:val="004E796C"/>
    <w:rsid w:val="004F04FE"/>
    <w:rsid w:val="004F2B88"/>
    <w:rsid w:val="004F2CE4"/>
    <w:rsid w:val="004F4618"/>
    <w:rsid w:val="00501C31"/>
    <w:rsid w:val="00502F80"/>
    <w:rsid w:val="00507503"/>
    <w:rsid w:val="0051168D"/>
    <w:rsid w:val="00511F02"/>
    <w:rsid w:val="0051288E"/>
    <w:rsid w:val="00512D0A"/>
    <w:rsid w:val="00514956"/>
    <w:rsid w:val="005156A2"/>
    <w:rsid w:val="005167F6"/>
    <w:rsid w:val="00520467"/>
    <w:rsid w:val="005320EC"/>
    <w:rsid w:val="0053659A"/>
    <w:rsid w:val="00540F24"/>
    <w:rsid w:val="00545B77"/>
    <w:rsid w:val="00545FE9"/>
    <w:rsid w:val="0054718D"/>
    <w:rsid w:val="00547961"/>
    <w:rsid w:val="00550ED4"/>
    <w:rsid w:val="00553C53"/>
    <w:rsid w:val="00555FD9"/>
    <w:rsid w:val="00560B11"/>
    <w:rsid w:val="00562F35"/>
    <w:rsid w:val="00564B63"/>
    <w:rsid w:val="00571DC9"/>
    <w:rsid w:val="00572A86"/>
    <w:rsid w:val="00574976"/>
    <w:rsid w:val="00576A9D"/>
    <w:rsid w:val="005831EC"/>
    <w:rsid w:val="00583370"/>
    <w:rsid w:val="00586965"/>
    <w:rsid w:val="0059075C"/>
    <w:rsid w:val="00593667"/>
    <w:rsid w:val="005A0ABA"/>
    <w:rsid w:val="005A1813"/>
    <w:rsid w:val="005A2A9A"/>
    <w:rsid w:val="005A5B46"/>
    <w:rsid w:val="005B08FF"/>
    <w:rsid w:val="005B1001"/>
    <w:rsid w:val="005B2E74"/>
    <w:rsid w:val="005B3ADB"/>
    <w:rsid w:val="005B6CC1"/>
    <w:rsid w:val="005B76F1"/>
    <w:rsid w:val="005C0E4C"/>
    <w:rsid w:val="005C5A39"/>
    <w:rsid w:val="005C5FB2"/>
    <w:rsid w:val="005C6597"/>
    <w:rsid w:val="005C7F15"/>
    <w:rsid w:val="005D48BA"/>
    <w:rsid w:val="005D4DE5"/>
    <w:rsid w:val="005D53EB"/>
    <w:rsid w:val="005E327B"/>
    <w:rsid w:val="005E73D7"/>
    <w:rsid w:val="005F443F"/>
    <w:rsid w:val="005F5A9B"/>
    <w:rsid w:val="005F7B98"/>
    <w:rsid w:val="00600341"/>
    <w:rsid w:val="006022CF"/>
    <w:rsid w:val="00605B32"/>
    <w:rsid w:val="0060678A"/>
    <w:rsid w:val="0061011B"/>
    <w:rsid w:val="006132F3"/>
    <w:rsid w:val="006134B7"/>
    <w:rsid w:val="00613DC0"/>
    <w:rsid w:val="006221F3"/>
    <w:rsid w:val="00623568"/>
    <w:rsid w:val="00626F09"/>
    <w:rsid w:val="00631FC3"/>
    <w:rsid w:val="006340EE"/>
    <w:rsid w:val="00634AD0"/>
    <w:rsid w:val="00640B03"/>
    <w:rsid w:val="00647B09"/>
    <w:rsid w:val="0065097B"/>
    <w:rsid w:val="00650E5B"/>
    <w:rsid w:val="006515B4"/>
    <w:rsid w:val="006545EF"/>
    <w:rsid w:val="00662618"/>
    <w:rsid w:val="0066472B"/>
    <w:rsid w:val="006654A8"/>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1AE1"/>
    <w:rsid w:val="006C5C3F"/>
    <w:rsid w:val="006D0F66"/>
    <w:rsid w:val="006D26AD"/>
    <w:rsid w:val="006D60BF"/>
    <w:rsid w:val="006E17C1"/>
    <w:rsid w:val="006E1F51"/>
    <w:rsid w:val="006E5D49"/>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21BC8"/>
    <w:rsid w:val="00724CD2"/>
    <w:rsid w:val="00726567"/>
    <w:rsid w:val="007318F4"/>
    <w:rsid w:val="00733BB7"/>
    <w:rsid w:val="00737630"/>
    <w:rsid w:val="00740555"/>
    <w:rsid w:val="007428D7"/>
    <w:rsid w:val="0074740B"/>
    <w:rsid w:val="00753ED0"/>
    <w:rsid w:val="007565DA"/>
    <w:rsid w:val="00763722"/>
    <w:rsid w:val="00771A6F"/>
    <w:rsid w:val="0077302A"/>
    <w:rsid w:val="00780FC2"/>
    <w:rsid w:val="007836E7"/>
    <w:rsid w:val="00784EE2"/>
    <w:rsid w:val="0078749A"/>
    <w:rsid w:val="007931B9"/>
    <w:rsid w:val="00794A43"/>
    <w:rsid w:val="007963F9"/>
    <w:rsid w:val="00797EAF"/>
    <w:rsid w:val="007A25CA"/>
    <w:rsid w:val="007A26DE"/>
    <w:rsid w:val="007A6E2D"/>
    <w:rsid w:val="007A7AC7"/>
    <w:rsid w:val="007A7E98"/>
    <w:rsid w:val="007B6973"/>
    <w:rsid w:val="007B6977"/>
    <w:rsid w:val="007B6A95"/>
    <w:rsid w:val="007B791F"/>
    <w:rsid w:val="007C06D3"/>
    <w:rsid w:val="007C46F2"/>
    <w:rsid w:val="007C5B60"/>
    <w:rsid w:val="007C785D"/>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3A2"/>
    <w:rsid w:val="00803645"/>
    <w:rsid w:val="00804177"/>
    <w:rsid w:val="00804F7C"/>
    <w:rsid w:val="00807B73"/>
    <w:rsid w:val="00810271"/>
    <w:rsid w:val="00812C82"/>
    <w:rsid w:val="008149F9"/>
    <w:rsid w:val="00815F2D"/>
    <w:rsid w:val="0081738D"/>
    <w:rsid w:val="00817710"/>
    <w:rsid w:val="008244B2"/>
    <w:rsid w:val="00825569"/>
    <w:rsid w:val="0082696C"/>
    <w:rsid w:val="008307E4"/>
    <w:rsid w:val="0083096B"/>
    <w:rsid w:val="00833C8D"/>
    <w:rsid w:val="00834176"/>
    <w:rsid w:val="0083637A"/>
    <w:rsid w:val="0084512A"/>
    <w:rsid w:val="00847DA0"/>
    <w:rsid w:val="008517F4"/>
    <w:rsid w:val="00855E8C"/>
    <w:rsid w:val="008601AC"/>
    <w:rsid w:val="00861A49"/>
    <w:rsid w:val="00861D29"/>
    <w:rsid w:val="0086341E"/>
    <w:rsid w:val="00867B0C"/>
    <w:rsid w:val="00877553"/>
    <w:rsid w:val="00881A7B"/>
    <w:rsid w:val="0088331C"/>
    <w:rsid w:val="008835F9"/>
    <w:rsid w:val="00885C4B"/>
    <w:rsid w:val="00885E12"/>
    <w:rsid w:val="00886789"/>
    <w:rsid w:val="008876D2"/>
    <w:rsid w:val="00891D17"/>
    <w:rsid w:val="00892D68"/>
    <w:rsid w:val="00893BF8"/>
    <w:rsid w:val="008968DC"/>
    <w:rsid w:val="008A48EE"/>
    <w:rsid w:val="008A79DC"/>
    <w:rsid w:val="008B1A83"/>
    <w:rsid w:val="008B2AE9"/>
    <w:rsid w:val="008B39CE"/>
    <w:rsid w:val="008B40CC"/>
    <w:rsid w:val="008B5015"/>
    <w:rsid w:val="008B50E7"/>
    <w:rsid w:val="008C2173"/>
    <w:rsid w:val="008C69CE"/>
    <w:rsid w:val="008D0FC4"/>
    <w:rsid w:val="008D1EC9"/>
    <w:rsid w:val="008D515E"/>
    <w:rsid w:val="008E6BF6"/>
    <w:rsid w:val="008E7B25"/>
    <w:rsid w:val="008F0A44"/>
    <w:rsid w:val="008F0A97"/>
    <w:rsid w:val="008F2631"/>
    <w:rsid w:val="008F3219"/>
    <w:rsid w:val="008F7038"/>
    <w:rsid w:val="008F75A9"/>
    <w:rsid w:val="0090042C"/>
    <w:rsid w:val="0090080B"/>
    <w:rsid w:val="00901626"/>
    <w:rsid w:val="009026C1"/>
    <w:rsid w:val="00902B39"/>
    <w:rsid w:val="00902EE0"/>
    <w:rsid w:val="009030DF"/>
    <w:rsid w:val="009162F2"/>
    <w:rsid w:val="009217D6"/>
    <w:rsid w:val="0092407D"/>
    <w:rsid w:val="00930A12"/>
    <w:rsid w:val="0093634E"/>
    <w:rsid w:val="00946409"/>
    <w:rsid w:val="00946B3D"/>
    <w:rsid w:val="0095030A"/>
    <w:rsid w:val="0095072D"/>
    <w:rsid w:val="009514E0"/>
    <w:rsid w:val="00951F90"/>
    <w:rsid w:val="00956A29"/>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05F4"/>
    <w:rsid w:val="009E16CA"/>
    <w:rsid w:val="009E596D"/>
    <w:rsid w:val="009E6EA0"/>
    <w:rsid w:val="009F74D0"/>
    <w:rsid w:val="00A00666"/>
    <w:rsid w:val="00A02538"/>
    <w:rsid w:val="00A032A2"/>
    <w:rsid w:val="00A04702"/>
    <w:rsid w:val="00A07764"/>
    <w:rsid w:val="00A1301E"/>
    <w:rsid w:val="00A138A8"/>
    <w:rsid w:val="00A15255"/>
    <w:rsid w:val="00A16177"/>
    <w:rsid w:val="00A16C7A"/>
    <w:rsid w:val="00A20EB4"/>
    <w:rsid w:val="00A21F6D"/>
    <w:rsid w:val="00A2548D"/>
    <w:rsid w:val="00A273B8"/>
    <w:rsid w:val="00A27C26"/>
    <w:rsid w:val="00A31281"/>
    <w:rsid w:val="00A32516"/>
    <w:rsid w:val="00A33720"/>
    <w:rsid w:val="00A361BF"/>
    <w:rsid w:val="00A368A9"/>
    <w:rsid w:val="00A36F62"/>
    <w:rsid w:val="00A43ACF"/>
    <w:rsid w:val="00A43ECC"/>
    <w:rsid w:val="00A462F5"/>
    <w:rsid w:val="00A47462"/>
    <w:rsid w:val="00A540F2"/>
    <w:rsid w:val="00A559BC"/>
    <w:rsid w:val="00A57416"/>
    <w:rsid w:val="00A63D71"/>
    <w:rsid w:val="00A672F6"/>
    <w:rsid w:val="00A679A9"/>
    <w:rsid w:val="00A70E0C"/>
    <w:rsid w:val="00A73CC0"/>
    <w:rsid w:val="00A73F14"/>
    <w:rsid w:val="00A75262"/>
    <w:rsid w:val="00A77BBD"/>
    <w:rsid w:val="00A82DA9"/>
    <w:rsid w:val="00A86BAD"/>
    <w:rsid w:val="00A90FFF"/>
    <w:rsid w:val="00A927B1"/>
    <w:rsid w:val="00A92D08"/>
    <w:rsid w:val="00A9352D"/>
    <w:rsid w:val="00A95969"/>
    <w:rsid w:val="00AA0B73"/>
    <w:rsid w:val="00AA6B20"/>
    <w:rsid w:val="00AA72AC"/>
    <w:rsid w:val="00AB1E59"/>
    <w:rsid w:val="00AB53E6"/>
    <w:rsid w:val="00AC0BB0"/>
    <w:rsid w:val="00AC2581"/>
    <w:rsid w:val="00AC3934"/>
    <w:rsid w:val="00AC4985"/>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5E40"/>
    <w:rsid w:val="00B16C2C"/>
    <w:rsid w:val="00B2001A"/>
    <w:rsid w:val="00B21CF2"/>
    <w:rsid w:val="00B23B28"/>
    <w:rsid w:val="00B262E3"/>
    <w:rsid w:val="00B31D58"/>
    <w:rsid w:val="00B333F9"/>
    <w:rsid w:val="00B40149"/>
    <w:rsid w:val="00B408D3"/>
    <w:rsid w:val="00B51958"/>
    <w:rsid w:val="00B532CC"/>
    <w:rsid w:val="00B55237"/>
    <w:rsid w:val="00B55CD5"/>
    <w:rsid w:val="00B57B94"/>
    <w:rsid w:val="00B60167"/>
    <w:rsid w:val="00B612C4"/>
    <w:rsid w:val="00B614D0"/>
    <w:rsid w:val="00B62E18"/>
    <w:rsid w:val="00B6457E"/>
    <w:rsid w:val="00B655E5"/>
    <w:rsid w:val="00B65723"/>
    <w:rsid w:val="00B706A0"/>
    <w:rsid w:val="00B706DC"/>
    <w:rsid w:val="00B7426B"/>
    <w:rsid w:val="00B75818"/>
    <w:rsid w:val="00B777F0"/>
    <w:rsid w:val="00B77CE5"/>
    <w:rsid w:val="00B83AE2"/>
    <w:rsid w:val="00B8705A"/>
    <w:rsid w:val="00B92A4C"/>
    <w:rsid w:val="00BA229A"/>
    <w:rsid w:val="00BA3253"/>
    <w:rsid w:val="00BA3530"/>
    <w:rsid w:val="00BA4B5F"/>
    <w:rsid w:val="00BA6C6C"/>
    <w:rsid w:val="00BB07A0"/>
    <w:rsid w:val="00BB0F2F"/>
    <w:rsid w:val="00BB1262"/>
    <w:rsid w:val="00BB2917"/>
    <w:rsid w:val="00BB3C7E"/>
    <w:rsid w:val="00BC7756"/>
    <w:rsid w:val="00BD0021"/>
    <w:rsid w:val="00BE14F7"/>
    <w:rsid w:val="00BE5237"/>
    <w:rsid w:val="00BE5B4F"/>
    <w:rsid w:val="00BF11E4"/>
    <w:rsid w:val="00BF297C"/>
    <w:rsid w:val="00BF2C3B"/>
    <w:rsid w:val="00BF5DD9"/>
    <w:rsid w:val="00BF6672"/>
    <w:rsid w:val="00BF7DB7"/>
    <w:rsid w:val="00C008FA"/>
    <w:rsid w:val="00C03515"/>
    <w:rsid w:val="00C04793"/>
    <w:rsid w:val="00C062AD"/>
    <w:rsid w:val="00C13DB4"/>
    <w:rsid w:val="00C14FD8"/>
    <w:rsid w:val="00C16795"/>
    <w:rsid w:val="00C1793E"/>
    <w:rsid w:val="00C21CF1"/>
    <w:rsid w:val="00C27107"/>
    <w:rsid w:val="00C27D64"/>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1039"/>
    <w:rsid w:val="00CA26D6"/>
    <w:rsid w:val="00CB1C1E"/>
    <w:rsid w:val="00CB5BD0"/>
    <w:rsid w:val="00CC041E"/>
    <w:rsid w:val="00CC2C7C"/>
    <w:rsid w:val="00CC6D58"/>
    <w:rsid w:val="00CD1CAD"/>
    <w:rsid w:val="00CD590F"/>
    <w:rsid w:val="00CD7D6F"/>
    <w:rsid w:val="00CE0738"/>
    <w:rsid w:val="00CE1881"/>
    <w:rsid w:val="00CE46D7"/>
    <w:rsid w:val="00CE5679"/>
    <w:rsid w:val="00CF0563"/>
    <w:rsid w:val="00CF5245"/>
    <w:rsid w:val="00D004AD"/>
    <w:rsid w:val="00D01EED"/>
    <w:rsid w:val="00D05F90"/>
    <w:rsid w:val="00D15512"/>
    <w:rsid w:val="00D16537"/>
    <w:rsid w:val="00D16C4B"/>
    <w:rsid w:val="00D17898"/>
    <w:rsid w:val="00D202DF"/>
    <w:rsid w:val="00D220C6"/>
    <w:rsid w:val="00D22D4B"/>
    <w:rsid w:val="00D309A4"/>
    <w:rsid w:val="00D31511"/>
    <w:rsid w:val="00D32CCE"/>
    <w:rsid w:val="00D3317F"/>
    <w:rsid w:val="00D34B2E"/>
    <w:rsid w:val="00D3745C"/>
    <w:rsid w:val="00D378A5"/>
    <w:rsid w:val="00D41A74"/>
    <w:rsid w:val="00D46AE7"/>
    <w:rsid w:val="00D475DD"/>
    <w:rsid w:val="00D51661"/>
    <w:rsid w:val="00D52000"/>
    <w:rsid w:val="00D54C71"/>
    <w:rsid w:val="00D60688"/>
    <w:rsid w:val="00D61759"/>
    <w:rsid w:val="00D63B6A"/>
    <w:rsid w:val="00D645B9"/>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2711"/>
    <w:rsid w:val="00DB36D3"/>
    <w:rsid w:val="00DB6AA8"/>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4788"/>
    <w:rsid w:val="00E276E2"/>
    <w:rsid w:val="00E41080"/>
    <w:rsid w:val="00E41C6B"/>
    <w:rsid w:val="00E41D58"/>
    <w:rsid w:val="00E438C0"/>
    <w:rsid w:val="00E43A91"/>
    <w:rsid w:val="00E47E49"/>
    <w:rsid w:val="00E5058C"/>
    <w:rsid w:val="00E558E9"/>
    <w:rsid w:val="00E55E07"/>
    <w:rsid w:val="00E57AD4"/>
    <w:rsid w:val="00E57ED5"/>
    <w:rsid w:val="00E646A2"/>
    <w:rsid w:val="00E65687"/>
    <w:rsid w:val="00E65E34"/>
    <w:rsid w:val="00E6685B"/>
    <w:rsid w:val="00E708B8"/>
    <w:rsid w:val="00E70ACB"/>
    <w:rsid w:val="00E763A3"/>
    <w:rsid w:val="00E77D64"/>
    <w:rsid w:val="00E8051F"/>
    <w:rsid w:val="00E82E69"/>
    <w:rsid w:val="00E844EB"/>
    <w:rsid w:val="00E8555E"/>
    <w:rsid w:val="00E863AD"/>
    <w:rsid w:val="00E9001A"/>
    <w:rsid w:val="00E9068F"/>
    <w:rsid w:val="00E91153"/>
    <w:rsid w:val="00E95E35"/>
    <w:rsid w:val="00E9742B"/>
    <w:rsid w:val="00EA167E"/>
    <w:rsid w:val="00EA2085"/>
    <w:rsid w:val="00EB127D"/>
    <w:rsid w:val="00EB1449"/>
    <w:rsid w:val="00EB2C55"/>
    <w:rsid w:val="00EB410C"/>
    <w:rsid w:val="00EB532F"/>
    <w:rsid w:val="00EB7249"/>
    <w:rsid w:val="00EB7737"/>
    <w:rsid w:val="00EC059F"/>
    <w:rsid w:val="00EC2EF1"/>
    <w:rsid w:val="00EC2F22"/>
    <w:rsid w:val="00EC71FF"/>
    <w:rsid w:val="00ED22DC"/>
    <w:rsid w:val="00ED4C2D"/>
    <w:rsid w:val="00ED6D3E"/>
    <w:rsid w:val="00ED78DD"/>
    <w:rsid w:val="00EE1FFF"/>
    <w:rsid w:val="00EE55BF"/>
    <w:rsid w:val="00EE5907"/>
    <w:rsid w:val="00EE5A55"/>
    <w:rsid w:val="00EE66E7"/>
    <w:rsid w:val="00EE696C"/>
    <w:rsid w:val="00EE7860"/>
    <w:rsid w:val="00EF1580"/>
    <w:rsid w:val="00EF1F5F"/>
    <w:rsid w:val="00EF285D"/>
    <w:rsid w:val="00EF41D6"/>
    <w:rsid w:val="00EF6FC1"/>
    <w:rsid w:val="00F00466"/>
    <w:rsid w:val="00F01707"/>
    <w:rsid w:val="00F07B0D"/>
    <w:rsid w:val="00F12BB5"/>
    <w:rsid w:val="00F21236"/>
    <w:rsid w:val="00F264D2"/>
    <w:rsid w:val="00F268D2"/>
    <w:rsid w:val="00F323AD"/>
    <w:rsid w:val="00F34032"/>
    <w:rsid w:val="00F35666"/>
    <w:rsid w:val="00F41F16"/>
    <w:rsid w:val="00F43DE9"/>
    <w:rsid w:val="00F4437E"/>
    <w:rsid w:val="00F44459"/>
    <w:rsid w:val="00F460A5"/>
    <w:rsid w:val="00F46B8B"/>
    <w:rsid w:val="00F477CD"/>
    <w:rsid w:val="00F5011E"/>
    <w:rsid w:val="00F5312C"/>
    <w:rsid w:val="00F5466B"/>
    <w:rsid w:val="00F5537A"/>
    <w:rsid w:val="00F5622C"/>
    <w:rsid w:val="00F647D1"/>
    <w:rsid w:val="00F65FB7"/>
    <w:rsid w:val="00F662BD"/>
    <w:rsid w:val="00F71A90"/>
    <w:rsid w:val="00F7301D"/>
    <w:rsid w:val="00F76180"/>
    <w:rsid w:val="00F80C72"/>
    <w:rsid w:val="00F87A64"/>
    <w:rsid w:val="00F91B42"/>
    <w:rsid w:val="00F92C67"/>
    <w:rsid w:val="00F95620"/>
    <w:rsid w:val="00F9623C"/>
    <w:rsid w:val="00F97379"/>
    <w:rsid w:val="00FA421D"/>
    <w:rsid w:val="00FA67FA"/>
    <w:rsid w:val="00FB121A"/>
    <w:rsid w:val="00FB12AF"/>
    <w:rsid w:val="00FB1E7D"/>
    <w:rsid w:val="00FB3705"/>
    <w:rsid w:val="00FB3CFB"/>
    <w:rsid w:val="00FB6B44"/>
    <w:rsid w:val="00FB78B2"/>
    <w:rsid w:val="00FB7CCC"/>
    <w:rsid w:val="00FC0388"/>
    <w:rsid w:val="00FC0B86"/>
    <w:rsid w:val="00FC1AE0"/>
    <w:rsid w:val="00FC56F9"/>
    <w:rsid w:val="00FD0FF0"/>
    <w:rsid w:val="00FD12FC"/>
    <w:rsid w:val="00FD4DE4"/>
    <w:rsid w:val="00FD689C"/>
    <w:rsid w:val="00FE0A81"/>
    <w:rsid w:val="00FE1855"/>
    <w:rsid w:val="00FE2412"/>
    <w:rsid w:val="00FE5A5F"/>
    <w:rsid w:val="00FE5CA5"/>
    <w:rsid w:val="00FE76EB"/>
    <w:rsid w:val="00FE77EB"/>
    <w:rsid w:val="00FF000B"/>
    <w:rsid w:val="00FF0609"/>
    <w:rsid w:val="00FF1DB2"/>
    <w:rsid w:val="00FF34CE"/>
    <w:rsid w:val="00FF6D44"/>
    <w:rsid w:val="00FF6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16C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6C4B"/>
    <w:rPr>
      <w:rFonts w:ascii="Times New Roman" w:eastAsia="Calibri" w:hAnsi="Times New Roman" w:cs="Times New Roman"/>
      <w:sz w:val="24"/>
      <w:szCs w:val="24"/>
      <w:lang w:val="es-ES" w:eastAsia="es-ES"/>
    </w:rPr>
  </w:style>
  <w:style w:type="character" w:customStyle="1" w:styleId="TransCar">
    <w:name w:val="Trans Car"/>
    <w:link w:val="Trans"/>
    <w:locked/>
    <w:rsid w:val="00BE5B4F"/>
    <w:rPr>
      <w:rFonts w:ascii="Arial" w:hAnsi="Arial" w:cs="Arial"/>
      <w:bCs/>
      <w:iCs/>
      <w:sz w:val="24"/>
      <w:szCs w:val="24"/>
      <w:lang w:val="es-ES" w:eastAsia="es-ES"/>
    </w:rPr>
  </w:style>
  <w:style w:type="paragraph" w:customStyle="1" w:styleId="Trans">
    <w:name w:val="Trans"/>
    <w:basedOn w:val="Normal"/>
    <w:link w:val="TransCar"/>
    <w:qFormat/>
    <w:rsid w:val="00BE5B4F"/>
    <w:pPr>
      <w:spacing w:line="276" w:lineRule="auto"/>
      <w:ind w:left="1418"/>
      <w:jc w:val="both"/>
    </w:pPr>
    <w:rPr>
      <w:rFonts w:ascii="Arial" w:eastAsiaTheme="minorHAnsi" w:hAnsi="Arial" w:cs="Arial"/>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946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074F-2E58-4A09-9410-B6DAFD9B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6726</Words>
  <Characters>36994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18</cp:revision>
  <cp:lastPrinted>2018-08-16T17:37:00Z</cp:lastPrinted>
  <dcterms:created xsi:type="dcterms:W3CDTF">2018-08-16T15:34:00Z</dcterms:created>
  <dcterms:modified xsi:type="dcterms:W3CDTF">2018-09-27T15:30:00Z</dcterms:modified>
</cp:coreProperties>
</file>